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spacing w:line="360" w:lineRule="auto"/>
        <w:jc w:val="center"/>
        <w:outlineLvl w:val="0"/>
        <w:rPr>
          <w:rFonts w:ascii="黑体" w:hAnsi="黑体" w:eastAsia="黑体" w:cs="Arial"/>
          <w:sz w:val="36"/>
          <w:szCs w:val="36"/>
        </w:rPr>
      </w:pPr>
      <w:bookmarkStart w:id="0" w:name="_Toc405730559"/>
      <w:bookmarkStart w:id="31" w:name="_GoBack"/>
      <w:bookmarkEnd w:id="31"/>
      <w:r>
        <w:rPr>
          <w:rFonts w:hint="eastAsia" w:ascii="黑体" w:hAnsi="黑体" w:eastAsia="黑体" w:cs="Arial"/>
          <w:sz w:val="36"/>
          <w:szCs w:val="36"/>
        </w:rPr>
        <w:t>宁波工程学院2019届毕业生就业质量年度报告</w:t>
      </w:r>
    </w:p>
    <w:p>
      <w:pPr>
        <w:pStyle w:val="8"/>
        <w:spacing w:line="360" w:lineRule="auto"/>
        <w:jc w:val="center"/>
        <w:rPr>
          <w:rFonts w:ascii="黑体" w:hAnsi="黑体" w:eastAsia="黑体"/>
          <w:sz w:val="15"/>
          <w:szCs w:val="15"/>
        </w:rPr>
      </w:pPr>
    </w:p>
    <w:bookmarkEnd w:id="0"/>
    <w:p>
      <w:pPr>
        <w:pStyle w:val="23"/>
        <w:rPr>
          <w:rFonts w:hAnsi="宋体" w:eastAsia="宋体" w:cs="Times New Roman"/>
          <w:lang w:val="zh-CN"/>
        </w:rPr>
      </w:pPr>
      <w:r>
        <w:rPr>
          <w:rFonts w:hint="eastAsia" w:hAnsi="宋体" w:eastAsia="宋体" w:cs="Times New Roman"/>
          <w:lang w:val="zh-CN"/>
        </w:rPr>
        <w:t>我校高度重视</w:t>
      </w:r>
      <w:r>
        <w:rPr>
          <w:rFonts w:hint="eastAsia" w:ascii="Times New Roman" w:hAnsi="Times New Roman" w:eastAsia="宋体" w:cs="Times New Roman"/>
          <w:lang w:val="zh-CN"/>
        </w:rPr>
        <w:t>201</w:t>
      </w:r>
      <w:r>
        <w:rPr>
          <w:rFonts w:hint="eastAsia" w:ascii="Times New Roman" w:hAnsi="Times New Roman" w:eastAsia="宋体" w:cs="Times New Roman"/>
        </w:rPr>
        <w:t>9</w:t>
      </w:r>
      <w:r>
        <w:rPr>
          <w:rFonts w:hint="eastAsia" w:hAnsi="宋体" w:eastAsia="宋体" w:cs="Times New Roman"/>
          <w:lang w:val="zh-CN"/>
        </w:rPr>
        <w:t>届毕业生就业工作，按照国家有关毕业生就业方针、政策和规定，不断加强对学生的组织领导、创新就业工作机制、开拓就业市场、提高就业服务水平。在省、市教育主管部门、人力和社会保障主管部门的指导和关怀下，经过全校各部门、各学院和广大师生的共同努力，截至</w:t>
      </w:r>
      <w:r>
        <w:rPr>
          <w:rFonts w:hint="eastAsia" w:ascii="Times New Roman" w:hAnsi="Times New Roman" w:eastAsia="宋体" w:cs="Times New Roman"/>
          <w:lang w:val="zh-CN"/>
        </w:rPr>
        <w:t>201</w:t>
      </w:r>
      <w:r>
        <w:rPr>
          <w:rFonts w:hint="eastAsia" w:ascii="Times New Roman" w:hAnsi="Times New Roman" w:eastAsia="宋体" w:cs="Times New Roman"/>
        </w:rPr>
        <w:t>9</w:t>
      </w:r>
      <w:r>
        <w:rPr>
          <w:rFonts w:hint="eastAsia" w:hAnsi="宋体" w:eastAsia="宋体" w:cs="Times New Roman"/>
          <w:lang w:val="zh-CN"/>
        </w:rPr>
        <w:t>年</w:t>
      </w:r>
      <w:r>
        <w:rPr>
          <w:rFonts w:hint="eastAsia" w:ascii="Times New Roman" w:hAnsi="Times New Roman" w:eastAsia="宋体" w:cs="Times New Roman"/>
          <w:lang w:val="zh-CN"/>
        </w:rPr>
        <w:t>8</w:t>
      </w:r>
      <w:r>
        <w:rPr>
          <w:rFonts w:hint="eastAsia" w:hAnsi="宋体" w:eastAsia="宋体" w:cs="Times New Roman"/>
          <w:lang w:val="zh-CN"/>
        </w:rPr>
        <w:t>月</w:t>
      </w:r>
      <w:r>
        <w:rPr>
          <w:rFonts w:hint="eastAsia" w:ascii="Times New Roman" w:hAnsi="Times New Roman" w:eastAsia="宋体" w:cs="Times New Roman"/>
          <w:lang w:val="zh-CN"/>
        </w:rPr>
        <w:t>31</w:t>
      </w:r>
      <w:r>
        <w:rPr>
          <w:rFonts w:hint="eastAsia" w:hAnsi="宋体" w:eastAsia="宋体" w:cs="Times New Roman"/>
          <w:lang w:val="zh-CN"/>
        </w:rPr>
        <w:t>日，我校毕业生的就业率为</w:t>
      </w:r>
      <w:r>
        <w:rPr>
          <w:rFonts w:hint="eastAsia" w:ascii="Times New Roman" w:hAnsi="Times New Roman" w:eastAsia="宋体" w:cs="Times New Roman"/>
        </w:rPr>
        <w:t>97.63%</w:t>
      </w:r>
      <w:r>
        <w:rPr>
          <w:rFonts w:hint="eastAsia" w:hAnsi="宋体" w:eastAsia="宋体" w:cs="Times New Roman"/>
          <w:lang w:val="zh-CN"/>
        </w:rPr>
        <w:t>，签约率为</w:t>
      </w:r>
      <w:r>
        <w:rPr>
          <w:rFonts w:hint="eastAsia" w:ascii="Times New Roman" w:hAnsi="Times New Roman" w:eastAsia="宋体" w:cs="Times New Roman"/>
        </w:rPr>
        <w:t>93.12%</w:t>
      </w:r>
      <w:r>
        <w:rPr>
          <w:rFonts w:hint="eastAsia" w:hAnsi="宋体" w:eastAsia="宋体" w:cs="Times New Roman"/>
          <w:lang w:val="zh-CN"/>
        </w:rPr>
        <w:t>，圆满完成</w:t>
      </w:r>
      <w:r>
        <w:rPr>
          <w:rFonts w:hint="eastAsia" w:ascii="Times New Roman" w:hAnsi="Times New Roman" w:eastAsia="宋体" w:cs="Times New Roman"/>
          <w:lang w:val="zh-CN"/>
        </w:rPr>
        <w:t>201</w:t>
      </w:r>
      <w:r>
        <w:rPr>
          <w:rFonts w:hint="eastAsia" w:ascii="Times New Roman" w:hAnsi="Times New Roman" w:eastAsia="宋体" w:cs="Times New Roman"/>
        </w:rPr>
        <w:t>9</w:t>
      </w:r>
      <w:r>
        <w:rPr>
          <w:rFonts w:hint="eastAsia" w:hAnsi="宋体" w:eastAsia="宋体" w:cs="Times New Roman"/>
          <w:lang w:val="zh-CN"/>
        </w:rPr>
        <w:t>届毕业生就业工作目标。</w:t>
      </w:r>
    </w:p>
    <w:p>
      <w:pPr>
        <w:pStyle w:val="4"/>
        <w:spacing w:before="0" w:after="0" w:line="360" w:lineRule="auto"/>
        <w:ind w:firstLine="560" w:firstLineChars="200"/>
        <w:rPr>
          <w:b w:val="0"/>
        </w:rPr>
      </w:pPr>
      <w:bookmarkStart w:id="1" w:name="_Toc5384"/>
      <w:r>
        <w:rPr>
          <w:b w:val="0"/>
        </w:rPr>
        <w:t>一、</w:t>
      </w:r>
      <w:r>
        <w:rPr>
          <w:rFonts w:hint="eastAsia"/>
          <w:b w:val="0"/>
        </w:rPr>
        <w:t>就业</w:t>
      </w:r>
      <w:r>
        <w:rPr>
          <w:b w:val="0"/>
        </w:rPr>
        <w:t>基本情况</w:t>
      </w:r>
      <w:bookmarkEnd w:id="1"/>
      <w:bookmarkStart w:id="2" w:name="_Toc10067"/>
    </w:p>
    <w:p>
      <w:pPr>
        <w:pStyle w:val="4"/>
        <w:spacing w:before="0" w:after="0" w:line="360" w:lineRule="auto"/>
        <w:ind w:firstLine="482" w:firstLineChars="2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cs="Times New Roman" w:asciiTheme="minorEastAsia" w:hAnsiTheme="minorEastAsia" w:eastAsiaTheme="minorEastAsia"/>
          <w:sz w:val="24"/>
          <w:szCs w:val="24"/>
        </w:rPr>
        <w:t>1</w:t>
      </w:r>
      <w:r>
        <w:rPr>
          <w:rFonts w:hint="eastAsia" w:asciiTheme="minorEastAsia" w:hAnsiTheme="minorEastAsia" w:eastAsiaTheme="minorEastAsia"/>
          <w:sz w:val="24"/>
          <w:szCs w:val="24"/>
        </w:rPr>
        <w:t>．毕业生规模与结构</w:t>
      </w:r>
      <w:bookmarkEnd w:id="2"/>
    </w:p>
    <w:p>
      <w:pPr>
        <w:pStyle w:val="23"/>
        <w:rPr>
          <w:rFonts w:hint="eastAsia" w:ascii="宋体" w:hAnsi="宋体" w:eastAsia="宋体" w:cs="宋体"/>
          <w:lang w:val="zh-CN"/>
        </w:rPr>
      </w:pPr>
      <w:r>
        <w:rPr>
          <w:rFonts w:hint="eastAsia" w:ascii="宋体" w:hAnsi="宋体" w:eastAsia="宋体" w:cs="宋体"/>
          <w:lang w:val="zh-CN"/>
        </w:rPr>
        <w:t>201</w:t>
      </w:r>
      <w:r>
        <w:rPr>
          <w:rFonts w:hint="eastAsia" w:ascii="宋体" w:hAnsi="宋体" w:eastAsia="宋体" w:cs="宋体"/>
        </w:rPr>
        <w:t>9</w:t>
      </w:r>
      <w:r>
        <w:rPr>
          <w:rFonts w:hint="eastAsia" w:ascii="宋体" w:hAnsi="宋体" w:eastAsia="宋体" w:cs="宋体"/>
          <w:lang w:val="zh-CN"/>
        </w:rPr>
        <w:t>年我校共有</w:t>
      </w:r>
      <w:r>
        <w:rPr>
          <w:rFonts w:hint="eastAsia" w:ascii="宋体" w:hAnsi="宋体" w:eastAsia="宋体" w:cs="宋体"/>
        </w:rPr>
        <w:t>3502</w:t>
      </w:r>
      <w:r>
        <w:rPr>
          <w:rFonts w:hint="eastAsia" w:ascii="宋体" w:hAnsi="宋体" w:eastAsia="宋体" w:cs="宋体"/>
          <w:lang w:val="zh-CN"/>
        </w:rPr>
        <w:t>名毕业生，全部为本科生，涉及工学、理学、文学、经济学、管理学5</w:t>
      </w:r>
      <w:r>
        <w:rPr>
          <w:rFonts w:hint="eastAsia" w:ascii="宋体" w:hAnsi="宋体" w:eastAsia="宋体" w:cs="宋体"/>
          <w:lang w:val="zh-CN" w:eastAsia="zh-CN"/>
        </w:rPr>
        <w:t>大学科门类，</w:t>
      </w:r>
      <w:r>
        <w:rPr>
          <w:rFonts w:hint="eastAsia" w:ascii="宋体" w:hAnsi="宋体" w:eastAsia="宋体" w:cs="宋体"/>
          <w:lang w:val="en-US" w:eastAsia="zh-CN"/>
        </w:rPr>
        <w:t>40</w:t>
      </w:r>
      <w:r>
        <w:rPr>
          <w:rFonts w:hint="eastAsia" w:ascii="宋体" w:hAnsi="宋体" w:eastAsia="宋体" w:cs="宋体"/>
          <w:lang w:val="zh-CN" w:eastAsia="zh-CN"/>
        </w:rPr>
        <w:t>个专业。</w:t>
      </w:r>
    </w:p>
    <w:p>
      <w:pPr>
        <w:pStyle w:val="23"/>
        <w:rPr>
          <w:rFonts w:hAnsi="宋体" w:eastAsia="宋体" w:cs="Times New Roman"/>
          <w:lang w:val="zh-CN"/>
        </w:rPr>
      </w:pPr>
      <w:r>
        <w:rPr>
          <w:rFonts w:hint="eastAsia" w:hAnsi="宋体" w:eastAsia="宋体" w:cs="Times New Roman"/>
          <w:lang w:val="zh-CN"/>
        </w:rPr>
        <w:t>省内毕业生人数占总毕业生人数的</w:t>
      </w:r>
      <w:r>
        <w:rPr>
          <w:rFonts w:hint="eastAsia" w:ascii="Times New Roman" w:hAnsi="Times New Roman" w:eastAsia="宋体" w:cs="Times New Roman"/>
        </w:rPr>
        <w:t>72.46%</w:t>
      </w:r>
      <w:r>
        <w:rPr>
          <w:rFonts w:hint="eastAsia" w:hAnsi="宋体" w:eastAsia="宋体" w:cs="Times New Roman"/>
          <w:lang w:val="zh-CN"/>
        </w:rPr>
        <w:t>，外省毕业生占</w:t>
      </w:r>
      <w:r>
        <w:rPr>
          <w:rFonts w:hint="eastAsia" w:ascii="Times New Roman" w:hAnsi="Times New Roman" w:eastAsia="宋体" w:cs="Times New Roman"/>
        </w:rPr>
        <w:t>27.54%</w:t>
      </w:r>
      <w:r>
        <w:rPr>
          <w:rFonts w:hint="eastAsia" w:hAnsi="宋体" w:eastAsia="宋体" w:cs="Times New Roman"/>
          <w:lang w:val="zh-CN"/>
        </w:rPr>
        <w:t>，较</w:t>
      </w:r>
      <w:r>
        <w:rPr>
          <w:rFonts w:hint="eastAsia" w:ascii="Times New Roman" w:hAnsi="Times New Roman" w:eastAsia="宋体" w:cs="Times New Roman"/>
        </w:rPr>
        <w:t>2018</w:t>
      </w:r>
      <w:r>
        <w:rPr>
          <w:rFonts w:hint="eastAsia" w:hAnsi="宋体" w:eastAsia="宋体" w:cs="Times New Roman"/>
          <w:lang w:val="zh-CN"/>
        </w:rPr>
        <w:t>届毕业生增加</w:t>
      </w:r>
      <w:r>
        <w:rPr>
          <w:rFonts w:hint="eastAsia" w:ascii="Times New Roman" w:hAnsi="Times New Roman" w:eastAsia="宋体" w:cs="Times New Roman"/>
        </w:rPr>
        <w:t>3.55%</w:t>
      </w:r>
      <w:r>
        <w:rPr>
          <w:rFonts w:hint="eastAsia" w:hAnsi="宋体" w:eastAsia="宋体" w:cs="Times New Roman"/>
          <w:lang w:val="zh-CN"/>
        </w:rPr>
        <w:t>。省内生源以宁波、杭州、绍兴等附近城市为主。分别占</w:t>
      </w:r>
      <w:r>
        <w:rPr>
          <w:rFonts w:hint="eastAsia" w:ascii="Times New Roman" w:hAnsi="Times New Roman" w:eastAsia="宋体" w:cs="Times New Roman"/>
        </w:rPr>
        <w:t>14.39</w:t>
      </w:r>
      <w:r>
        <w:rPr>
          <w:rFonts w:hint="eastAsia" w:ascii="Times New Roman" w:hAnsi="Times New Roman" w:eastAsia="宋体" w:cs="Times New Roman"/>
          <w:lang w:val="zh-CN"/>
        </w:rPr>
        <w:t>%</w:t>
      </w:r>
      <w:r>
        <w:rPr>
          <w:rFonts w:hint="eastAsia" w:hAnsi="宋体" w:eastAsia="宋体" w:cs="Times New Roman"/>
          <w:lang w:val="zh-CN"/>
        </w:rPr>
        <w:t>、</w:t>
      </w:r>
      <w:r>
        <w:rPr>
          <w:rFonts w:hint="eastAsia" w:ascii="Times New Roman" w:hAnsi="Times New Roman" w:eastAsia="宋体" w:cs="Times New Roman"/>
          <w:lang w:val="zh-CN"/>
        </w:rPr>
        <w:t>9.88%</w:t>
      </w:r>
      <w:r>
        <w:rPr>
          <w:rFonts w:hint="eastAsia" w:hAnsi="宋体" w:eastAsia="宋体" w:cs="Times New Roman"/>
          <w:lang w:val="zh-CN"/>
        </w:rPr>
        <w:t>和</w:t>
      </w:r>
      <w:r>
        <w:rPr>
          <w:rFonts w:hint="eastAsia" w:ascii="Times New Roman" w:hAnsi="Times New Roman" w:eastAsia="宋体" w:cs="Times New Roman"/>
          <w:lang w:val="zh-CN"/>
        </w:rPr>
        <w:t>8.99%</w:t>
      </w:r>
      <w:r>
        <w:rPr>
          <w:rFonts w:hint="eastAsia" w:hAnsi="宋体" w:eastAsia="宋体" w:cs="Times New Roman"/>
          <w:lang w:val="zh-CN"/>
        </w:rPr>
        <w:t>。毕业生生源地区分布详见表一。</w:t>
      </w:r>
    </w:p>
    <w:p>
      <w:pPr>
        <w:pStyle w:val="28"/>
        <w:tabs>
          <w:tab w:val="left" w:pos="825"/>
        </w:tabs>
        <w:ind w:left="542" w:firstLine="0" w:firstLineChars="0"/>
        <w:jc w:val="center"/>
        <w:rPr>
          <w:rFonts w:hAnsi="宋体" w:cs="Times New Roman"/>
          <w:lang w:val="zh-CN"/>
        </w:rPr>
      </w:pPr>
      <w:bookmarkStart w:id="3" w:name="_Toc26285"/>
      <w:r>
        <w:rPr>
          <w:rFonts w:hint="eastAsia" w:eastAsia="黑体"/>
          <w:b/>
          <w:bCs/>
          <w:lang w:val="zh-CN"/>
        </w:rPr>
        <w:t xml:space="preserve">表一  </w:t>
      </w:r>
      <w:r>
        <w:rPr>
          <w:rFonts w:hint="eastAsia" w:ascii="黑体" w:hAnsi="Times New Roman" w:eastAsia="黑体" w:cs="Times New Roman"/>
          <w:sz w:val="21"/>
          <w:szCs w:val="21"/>
        </w:rPr>
        <w:t>2019</w:t>
      </w:r>
      <w:r>
        <w:rPr>
          <w:rFonts w:hint="eastAsia" w:eastAsia="黑体"/>
          <w:b/>
          <w:bCs/>
          <w:lang w:val="zh-CN"/>
        </w:rPr>
        <w:t>届毕业生生源地区分布情况</w:t>
      </w:r>
    </w:p>
    <w:tbl>
      <w:tblPr>
        <w:tblStyle w:val="16"/>
        <w:tblW w:w="836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single" w:color="FFFFFF" w:sz="4" w:space="0"/>
        </w:tblBorders>
        <w:shd w:val="clear" w:color="auto" w:fill="8DB3E2" w:themeFill="text2" w:themeFillTint="66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1"/>
        <w:gridCol w:w="623"/>
        <w:gridCol w:w="634"/>
        <w:gridCol w:w="571"/>
        <w:gridCol w:w="571"/>
        <w:gridCol w:w="571"/>
        <w:gridCol w:w="634"/>
        <w:gridCol w:w="571"/>
        <w:gridCol w:w="571"/>
        <w:gridCol w:w="571"/>
        <w:gridCol w:w="571"/>
        <w:gridCol w:w="571"/>
        <w:gridCol w:w="62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single" w:color="FFFFFF" w:sz="4" w:space="0"/>
          </w:tblBorders>
          <w:shd w:val="clear" w:color="auto" w:fill="8DB3E2" w:themeFill="text2" w:themeFillTint="66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81" w:type="dxa"/>
            <w:shd w:val="clear" w:color="auto" w:fill="B6DDE8" w:themeFill="accent5" w:themeFillTint="66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eastAsia="Times New Roman"/>
                <w:b/>
              </w:rPr>
            </w:pPr>
            <w:r>
              <w:rPr>
                <w:rFonts w:hAnsi="宋体" w:eastAsia="Times New Roman"/>
                <w:b/>
              </w:rPr>
              <w:t>地区</w:t>
            </w:r>
          </w:p>
        </w:tc>
        <w:tc>
          <w:tcPr>
            <w:tcW w:w="623" w:type="dxa"/>
            <w:shd w:val="clear" w:color="auto" w:fill="B6DDE8" w:themeFill="accent5" w:themeFillTint="66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杭州</w:t>
            </w:r>
          </w:p>
        </w:tc>
        <w:tc>
          <w:tcPr>
            <w:tcW w:w="634" w:type="dxa"/>
            <w:shd w:val="clear" w:color="auto" w:fill="B6DDE8" w:themeFill="accent5" w:themeFillTint="66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宁波</w:t>
            </w:r>
          </w:p>
        </w:tc>
        <w:tc>
          <w:tcPr>
            <w:tcW w:w="571" w:type="dxa"/>
            <w:shd w:val="clear" w:color="auto" w:fill="B6DDE8" w:themeFill="accent5" w:themeFillTint="66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温州</w:t>
            </w:r>
          </w:p>
        </w:tc>
        <w:tc>
          <w:tcPr>
            <w:tcW w:w="571" w:type="dxa"/>
            <w:shd w:val="clear" w:color="auto" w:fill="B6DDE8" w:themeFill="accent5" w:themeFillTint="66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嘉兴</w:t>
            </w:r>
          </w:p>
        </w:tc>
        <w:tc>
          <w:tcPr>
            <w:tcW w:w="571" w:type="dxa"/>
            <w:shd w:val="clear" w:color="auto" w:fill="B6DDE8" w:themeFill="accent5" w:themeFillTint="66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湖州</w:t>
            </w:r>
          </w:p>
        </w:tc>
        <w:tc>
          <w:tcPr>
            <w:tcW w:w="634" w:type="dxa"/>
            <w:shd w:val="clear" w:color="auto" w:fill="B6DDE8" w:themeFill="accent5" w:themeFillTint="66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绍兴</w:t>
            </w:r>
          </w:p>
        </w:tc>
        <w:tc>
          <w:tcPr>
            <w:tcW w:w="571" w:type="dxa"/>
            <w:shd w:val="clear" w:color="auto" w:fill="B6DDE8" w:themeFill="accent5" w:themeFillTint="66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金华</w:t>
            </w:r>
          </w:p>
        </w:tc>
        <w:tc>
          <w:tcPr>
            <w:tcW w:w="571" w:type="dxa"/>
            <w:shd w:val="clear" w:color="auto" w:fill="B6DDE8" w:themeFill="accent5" w:themeFillTint="66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衢州</w:t>
            </w:r>
          </w:p>
        </w:tc>
        <w:tc>
          <w:tcPr>
            <w:tcW w:w="571" w:type="dxa"/>
            <w:shd w:val="clear" w:color="auto" w:fill="B6DDE8" w:themeFill="accent5" w:themeFillTint="66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舟山</w:t>
            </w:r>
          </w:p>
        </w:tc>
        <w:tc>
          <w:tcPr>
            <w:tcW w:w="571" w:type="dxa"/>
            <w:shd w:val="clear" w:color="auto" w:fill="B6DDE8" w:themeFill="accent5" w:themeFillTint="66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台州</w:t>
            </w:r>
          </w:p>
        </w:tc>
        <w:tc>
          <w:tcPr>
            <w:tcW w:w="571" w:type="dxa"/>
            <w:shd w:val="clear" w:color="auto" w:fill="B6DDE8" w:themeFill="accent5" w:themeFillTint="66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丽水</w:t>
            </w:r>
          </w:p>
        </w:tc>
        <w:tc>
          <w:tcPr>
            <w:tcW w:w="628" w:type="dxa"/>
            <w:shd w:val="clear" w:color="auto" w:fill="B6DDE8" w:themeFill="accent5" w:themeFillTint="66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外省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single" w:color="FFFFF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281" w:type="dxa"/>
            <w:shd w:val="clear" w:color="auto" w:fill="FFFFFF" w:themeFill="background1" w:themeFillShade="F2" w:themeFillTint="66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人数</w:t>
            </w:r>
          </w:p>
        </w:tc>
        <w:tc>
          <w:tcPr>
            <w:tcW w:w="623" w:type="dxa"/>
            <w:shd w:val="clear" w:color="auto" w:fill="FFFFFF" w:themeFill="background1" w:themeFillShade="F2" w:themeFillTint="66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 w:eastAsia="Times New Roman"/>
                <w:szCs w:val="21"/>
              </w:rPr>
              <w:t>346</w:t>
            </w:r>
          </w:p>
        </w:tc>
        <w:tc>
          <w:tcPr>
            <w:tcW w:w="634" w:type="dxa"/>
            <w:shd w:val="clear" w:color="auto" w:fill="FFFFFF" w:themeFill="background1" w:themeFillShade="F2" w:themeFillTint="66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 w:ascii="Times New Roman" w:hAnsi="Times New Roman" w:eastAsia="Times New Roman" w:cs="Times New Roman"/>
                <w:szCs w:val="21"/>
              </w:rPr>
              <w:t>504</w:t>
            </w:r>
          </w:p>
        </w:tc>
        <w:tc>
          <w:tcPr>
            <w:tcW w:w="571" w:type="dxa"/>
            <w:shd w:val="clear" w:color="auto" w:fill="FFFFFF" w:themeFill="background1" w:themeFillShade="F2" w:themeFillTint="66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eastAsia="Times New Roman" w:cs="Times New Roman"/>
                <w:szCs w:val="21"/>
              </w:rPr>
              <w:t>252</w:t>
            </w:r>
          </w:p>
        </w:tc>
        <w:tc>
          <w:tcPr>
            <w:tcW w:w="571" w:type="dxa"/>
            <w:shd w:val="clear" w:color="auto" w:fill="FFFFFF" w:themeFill="background1" w:themeFillShade="F2" w:themeFillTint="66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eastAsia="Times New Roman" w:cs="Times New Roman"/>
                <w:szCs w:val="21"/>
              </w:rPr>
              <w:t>218</w:t>
            </w:r>
          </w:p>
        </w:tc>
        <w:tc>
          <w:tcPr>
            <w:tcW w:w="571" w:type="dxa"/>
            <w:shd w:val="clear" w:color="auto" w:fill="FFFFFF" w:themeFill="background1" w:themeFillShade="F2" w:themeFillTint="66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eastAsia="Times New Roman" w:cs="Times New Roman"/>
                <w:szCs w:val="21"/>
              </w:rPr>
              <w:t>148</w:t>
            </w:r>
          </w:p>
        </w:tc>
        <w:tc>
          <w:tcPr>
            <w:tcW w:w="634" w:type="dxa"/>
            <w:shd w:val="clear" w:color="auto" w:fill="FFFFFF" w:themeFill="background1" w:themeFillShade="F2" w:themeFillTint="66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eastAsia="Times New Roman" w:cs="Times New Roman"/>
                <w:szCs w:val="21"/>
              </w:rPr>
              <w:t>315</w:t>
            </w:r>
          </w:p>
        </w:tc>
        <w:tc>
          <w:tcPr>
            <w:tcW w:w="571" w:type="dxa"/>
            <w:shd w:val="clear" w:color="auto" w:fill="FFFFFF" w:themeFill="background1" w:themeFillShade="F2" w:themeFillTint="66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eastAsia="Times New Roman" w:cs="Times New Roman"/>
                <w:szCs w:val="21"/>
              </w:rPr>
              <w:t>244</w:t>
            </w:r>
          </w:p>
        </w:tc>
        <w:tc>
          <w:tcPr>
            <w:tcW w:w="571" w:type="dxa"/>
            <w:shd w:val="clear" w:color="auto" w:fill="FFFFFF" w:themeFill="background1" w:themeFillShade="F2" w:themeFillTint="66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eastAsia="Times New Roman" w:cs="Times New Roman"/>
                <w:szCs w:val="21"/>
              </w:rPr>
              <w:t>127</w:t>
            </w:r>
          </w:p>
        </w:tc>
        <w:tc>
          <w:tcPr>
            <w:tcW w:w="571" w:type="dxa"/>
            <w:shd w:val="clear" w:color="auto" w:fill="FFFFFF" w:themeFill="background1" w:themeFillShade="F2" w:themeFillTint="66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eastAsia="Times New Roman" w:cs="Times New Roman"/>
                <w:szCs w:val="21"/>
              </w:rPr>
              <w:t>41</w:t>
            </w:r>
          </w:p>
        </w:tc>
        <w:tc>
          <w:tcPr>
            <w:tcW w:w="571" w:type="dxa"/>
            <w:shd w:val="clear" w:color="auto" w:fill="FFFFFF" w:themeFill="background1" w:themeFillShade="F2" w:themeFillTint="66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eastAsia="Times New Roman" w:cs="Times New Roman"/>
                <w:szCs w:val="21"/>
              </w:rPr>
              <w:t>252</w:t>
            </w:r>
          </w:p>
        </w:tc>
        <w:tc>
          <w:tcPr>
            <w:tcW w:w="571" w:type="dxa"/>
            <w:shd w:val="clear" w:color="auto" w:fill="FFFFFF" w:themeFill="background1" w:themeFillShade="F2" w:themeFillTint="66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Times New Roman" w:cs="Times New Roman"/>
                <w:szCs w:val="21"/>
              </w:rPr>
            </w:pPr>
            <w:r>
              <w:rPr>
                <w:rFonts w:hint="eastAsia" w:ascii="Times New Roman" w:hAnsi="Times New Roman" w:eastAsia="Times New Roman" w:cs="Times New Roman"/>
                <w:szCs w:val="21"/>
              </w:rPr>
              <w:t>90</w:t>
            </w:r>
          </w:p>
        </w:tc>
        <w:tc>
          <w:tcPr>
            <w:tcW w:w="628" w:type="dxa"/>
            <w:shd w:val="clear" w:color="auto" w:fill="FFFFFF" w:themeFill="background1" w:themeFillShade="F2" w:themeFillTint="66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color w:val="00B050"/>
                <w:szCs w:val="21"/>
              </w:rPr>
            </w:pPr>
            <w:r>
              <w:rPr>
                <w:rFonts w:hint="eastAsia" w:ascii="Times New Roman" w:hAnsi="Times New Roman" w:eastAsia="Times New Roman" w:cs="Times New Roman"/>
                <w:szCs w:val="21"/>
              </w:rPr>
              <w:t>965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single" w:color="FFFFF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81" w:type="dxa"/>
            <w:shd w:val="clear" w:color="auto" w:fill="B6DDE8" w:themeFill="accent5" w:themeFillTint="66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百分比%</w:t>
            </w:r>
          </w:p>
        </w:tc>
        <w:tc>
          <w:tcPr>
            <w:tcW w:w="623" w:type="dxa"/>
            <w:shd w:val="clear" w:color="auto" w:fill="B6DDE8" w:themeFill="accent5" w:themeFillTint="66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eastAsia="Times New Roman" w:cs="Times New Roman"/>
                <w:szCs w:val="21"/>
              </w:rPr>
              <w:t>9.88</w:t>
            </w:r>
          </w:p>
        </w:tc>
        <w:tc>
          <w:tcPr>
            <w:tcW w:w="634" w:type="dxa"/>
            <w:shd w:val="clear" w:color="auto" w:fill="B6DDE8" w:themeFill="accent5" w:themeFillTint="66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eastAsia="Times New Roman" w:cs="Times New Roman"/>
                <w:szCs w:val="21"/>
              </w:rPr>
              <w:t>14.39</w:t>
            </w:r>
          </w:p>
        </w:tc>
        <w:tc>
          <w:tcPr>
            <w:tcW w:w="571" w:type="dxa"/>
            <w:shd w:val="clear" w:color="auto" w:fill="B6DDE8" w:themeFill="accent5" w:themeFillTint="66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eastAsia="Times New Roman" w:cs="Times New Roman"/>
                <w:szCs w:val="21"/>
              </w:rPr>
              <w:t>7.20</w:t>
            </w:r>
          </w:p>
        </w:tc>
        <w:tc>
          <w:tcPr>
            <w:tcW w:w="571" w:type="dxa"/>
            <w:shd w:val="clear" w:color="auto" w:fill="B6DDE8" w:themeFill="accent5" w:themeFillTint="66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eastAsia="Times New Roman" w:cs="Times New Roman"/>
                <w:szCs w:val="21"/>
              </w:rPr>
              <w:t>6.23</w:t>
            </w:r>
          </w:p>
        </w:tc>
        <w:tc>
          <w:tcPr>
            <w:tcW w:w="571" w:type="dxa"/>
            <w:shd w:val="clear" w:color="auto" w:fill="B6DDE8" w:themeFill="accent5" w:themeFillTint="66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eastAsia="Times New Roman" w:cs="Times New Roman"/>
                <w:szCs w:val="21"/>
              </w:rPr>
              <w:t>4.23</w:t>
            </w:r>
          </w:p>
        </w:tc>
        <w:tc>
          <w:tcPr>
            <w:tcW w:w="634" w:type="dxa"/>
            <w:shd w:val="clear" w:color="auto" w:fill="B6DDE8" w:themeFill="accent5" w:themeFillTint="66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eastAsia="Times New Roman" w:cs="Times New Roman"/>
                <w:szCs w:val="21"/>
              </w:rPr>
              <w:t>8.99</w:t>
            </w:r>
          </w:p>
        </w:tc>
        <w:tc>
          <w:tcPr>
            <w:tcW w:w="571" w:type="dxa"/>
            <w:shd w:val="clear" w:color="auto" w:fill="B6DDE8" w:themeFill="accent5" w:themeFillTint="66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eastAsia="Times New Roman" w:cs="Times New Roman"/>
                <w:szCs w:val="21"/>
              </w:rPr>
              <w:t>6.97</w:t>
            </w:r>
          </w:p>
        </w:tc>
        <w:tc>
          <w:tcPr>
            <w:tcW w:w="571" w:type="dxa"/>
            <w:shd w:val="clear" w:color="auto" w:fill="B6DDE8" w:themeFill="accent5" w:themeFillTint="66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eastAsia="Times New Roman" w:cs="Times New Roman"/>
                <w:szCs w:val="21"/>
              </w:rPr>
              <w:t>3.63</w:t>
            </w:r>
          </w:p>
        </w:tc>
        <w:tc>
          <w:tcPr>
            <w:tcW w:w="571" w:type="dxa"/>
            <w:shd w:val="clear" w:color="auto" w:fill="B6DDE8" w:themeFill="accent5" w:themeFillTint="66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eastAsia="Times New Roman" w:cs="Times New Roman"/>
                <w:szCs w:val="21"/>
              </w:rPr>
              <w:t>1.17</w:t>
            </w:r>
          </w:p>
        </w:tc>
        <w:tc>
          <w:tcPr>
            <w:tcW w:w="571" w:type="dxa"/>
            <w:shd w:val="clear" w:color="auto" w:fill="B6DDE8" w:themeFill="accent5" w:themeFillTint="66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Times New Roman" w:cs="Times New Roman"/>
                <w:szCs w:val="21"/>
              </w:rPr>
            </w:pPr>
            <w:r>
              <w:rPr>
                <w:rFonts w:hint="eastAsia" w:ascii="Times New Roman" w:hAnsi="Times New Roman" w:eastAsia="Times New Roman" w:cs="Times New Roman"/>
                <w:szCs w:val="21"/>
              </w:rPr>
              <w:t>7.20</w:t>
            </w:r>
          </w:p>
        </w:tc>
        <w:tc>
          <w:tcPr>
            <w:tcW w:w="571" w:type="dxa"/>
            <w:shd w:val="clear" w:color="auto" w:fill="B6DDE8" w:themeFill="accent5" w:themeFillTint="66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eastAsia="Times New Roman" w:cs="Times New Roman"/>
                <w:szCs w:val="21"/>
              </w:rPr>
              <w:t>2.57</w:t>
            </w:r>
          </w:p>
        </w:tc>
        <w:tc>
          <w:tcPr>
            <w:tcW w:w="628" w:type="dxa"/>
            <w:shd w:val="clear" w:color="auto" w:fill="B6DDE8" w:themeFill="accent5" w:themeFillTint="66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eastAsia="Times New Roman" w:cs="Times New Roman"/>
                <w:szCs w:val="21"/>
              </w:rPr>
              <w:t>27.54</w:t>
            </w:r>
          </w:p>
        </w:tc>
      </w:tr>
    </w:tbl>
    <w:p>
      <w:pPr>
        <w:pStyle w:val="5"/>
        <w:spacing w:before="0" w:after="0" w:line="360" w:lineRule="auto"/>
        <w:ind w:firstLine="472" w:firstLineChars="196"/>
        <w:rPr>
          <w:rFonts w:hint="eastAsia" w:cs="Times New Roman" w:asciiTheme="minorEastAsia" w:hAnsiTheme="minorEastAsia" w:eastAsiaTheme="minorEastAsia"/>
          <w:sz w:val="24"/>
          <w:szCs w:val="24"/>
          <w:lang w:val="zh-CN"/>
        </w:rPr>
      </w:pPr>
    </w:p>
    <w:p>
      <w:pPr>
        <w:pStyle w:val="5"/>
        <w:spacing w:before="0" w:after="0" w:line="360" w:lineRule="auto"/>
        <w:ind w:firstLine="472" w:firstLineChars="196"/>
        <w:rPr>
          <w:rFonts w:cs="Times New Roman" w:asciiTheme="minorEastAsia" w:hAnsiTheme="minorEastAsia" w:eastAsiaTheme="minorEastAsia"/>
          <w:sz w:val="24"/>
          <w:szCs w:val="24"/>
          <w:lang w:val="zh-CN"/>
        </w:rPr>
      </w:pPr>
      <w:r>
        <w:rPr>
          <w:rFonts w:hint="eastAsia" w:cs="Times New Roman" w:asciiTheme="minorEastAsia" w:hAnsiTheme="minorEastAsia" w:eastAsiaTheme="minorEastAsia"/>
          <w:sz w:val="24"/>
          <w:szCs w:val="24"/>
          <w:lang w:val="zh-CN"/>
        </w:rPr>
        <w:t>2</w:t>
      </w:r>
      <w:r>
        <w:rPr>
          <w:rFonts w:hint="eastAsia" w:cs="Times New Roman" w:asciiTheme="minorEastAsia" w:hAnsiTheme="minorEastAsia" w:eastAsiaTheme="minorEastAsia"/>
          <w:sz w:val="24"/>
          <w:szCs w:val="24"/>
        </w:rPr>
        <w:t>．毕业生</w:t>
      </w:r>
      <w:r>
        <w:rPr>
          <w:rFonts w:hint="eastAsia" w:cs="Times New Roman" w:asciiTheme="minorEastAsia" w:hAnsiTheme="minorEastAsia" w:eastAsiaTheme="minorEastAsia"/>
          <w:sz w:val="24"/>
          <w:szCs w:val="24"/>
          <w:lang w:val="zh-CN"/>
        </w:rPr>
        <w:t>就业情况</w:t>
      </w:r>
      <w:bookmarkEnd w:id="3"/>
    </w:p>
    <w:p>
      <w:pPr>
        <w:pStyle w:val="23"/>
        <w:rPr>
          <w:rFonts w:hAnsi="宋体" w:eastAsia="宋体" w:cs="Times New Roman"/>
          <w:lang w:val="zh-CN"/>
        </w:rPr>
      </w:pPr>
      <w:r>
        <w:rPr>
          <w:rFonts w:hint="eastAsia" w:hAnsi="宋体" w:eastAsia="宋体" w:cs="Times New Roman"/>
          <w:lang w:val="zh-CN"/>
        </w:rPr>
        <w:t>由于国家政策的鼓励以及社会经济快速发展对人才的渴求，在学校全体师生的共同努力下，学校今年整体就业形势依旧呈良好态势，整体就业率达到</w:t>
      </w:r>
      <w:r>
        <w:rPr>
          <w:rFonts w:hint="eastAsia" w:ascii="Times New Roman" w:hAnsi="Times New Roman" w:eastAsia="宋体" w:cs="Times New Roman"/>
        </w:rPr>
        <w:t>97.63%</w:t>
      </w:r>
      <w:r>
        <w:rPr>
          <w:rFonts w:hint="eastAsia" w:hAnsi="宋体" w:eastAsia="宋体" w:cs="Times New Roman"/>
          <w:lang w:val="zh-CN"/>
        </w:rPr>
        <w:t>，圆满完成</w:t>
      </w:r>
      <w:r>
        <w:rPr>
          <w:rFonts w:hint="eastAsia" w:ascii="Times New Roman" w:hAnsi="Times New Roman" w:eastAsia="宋体" w:cs="Times New Roman"/>
          <w:lang w:val="zh-CN"/>
        </w:rPr>
        <w:t>95%</w:t>
      </w:r>
      <w:r>
        <w:rPr>
          <w:rFonts w:hint="eastAsia" w:hAnsi="宋体" w:eastAsia="宋体" w:cs="Times New Roman"/>
          <w:lang w:val="zh-CN"/>
        </w:rPr>
        <w:t>的年度目标。就业率排名前三位的分别是材料与化学工程学院（</w:t>
      </w:r>
      <w:r>
        <w:rPr>
          <w:rFonts w:hint="eastAsia" w:ascii="Times New Roman" w:hAnsi="Times New Roman" w:eastAsia="宋体" w:cs="Times New Roman"/>
        </w:rPr>
        <w:t>99.39%</w:t>
      </w:r>
      <w:r>
        <w:rPr>
          <w:rFonts w:hint="eastAsia" w:hAnsi="宋体" w:eastAsia="宋体" w:cs="Times New Roman"/>
        </w:rPr>
        <w:t>)、建筑与交通工程学院（</w:t>
      </w:r>
      <w:r>
        <w:rPr>
          <w:rFonts w:ascii="Times New Roman" w:hAnsi="Times New Roman" w:eastAsia="宋体" w:cs="Times New Roman"/>
        </w:rPr>
        <w:t>99.</w:t>
      </w:r>
      <w:r>
        <w:rPr>
          <w:rFonts w:hint="eastAsia" w:ascii="Times New Roman" w:hAnsi="Times New Roman" w:eastAsia="宋体" w:cs="Times New Roman"/>
        </w:rPr>
        <w:t>28</w:t>
      </w:r>
      <w:r>
        <w:rPr>
          <w:rFonts w:ascii="Times New Roman" w:hAnsi="Times New Roman" w:eastAsia="宋体" w:cs="Times New Roman"/>
        </w:rPr>
        <w:t>%</w:t>
      </w:r>
      <w:r>
        <w:rPr>
          <w:rFonts w:hint="eastAsia" w:hAnsi="宋体" w:eastAsia="宋体" w:cs="Times New Roman"/>
        </w:rPr>
        <w:t>）、经济与管理学院（</w:t>
      </w:r>
      <w:r>
        <w:rPr>
          <w:rFonts w:hint="eastAsia" w:ascii="Times New Roman" w:hAnsi="Times New Roman" w:eastAsia="宋体" w:cs="Times New Roman"/>
        </w:rPr>
        <w:t>99.22%</w:t>
      </w:r>
      <w:r>
        <w:rPr>
          <w:rFonts w:hint="eastAsia" w:hAnsi="宋体" w:eastAsia="宋体" w:cs="Times New Roman"/>
        </w:rPr>
        <w:t>）</w:t>
      </w:r>
      <w:r>
        <w:rPr>
          <w:rFonts w:hint="eastAsia" w:hAnsi="宋体" w:eastAsia="宋体" w:cs="Times New Roman"/>
          <w:lang w:val="zh-CN"/>
        </w:rPr>
        <w:t>，各学院的就业率排名情况见表二。</w:t>
      </w:r>
    </w:p>
    <w:p>
      <w:pPr>
        <w:pStyle w:val="23"/>
        <w:rPr>
          <w:rFonts w:hAnsi="宋体" w:eastAsia="宋体" w:cs="Times New Roman"/>
          <w:lang w:val="zh-CN"/>
        </w:rPr>
      </w:pPr>
    </w:p>
    <w:p>
      <w:pPr>
        <w:pStyle w:val="23"/>
        <w:ind w:firstLine="0" w:firstLineChars="0"/>
        <w:jc w:val="center"/>
        <w:rPr>
          <w:rFonts w:eastAsia="黑体"/>
          <w:b/>
          <w:bCs/>
          <w:szCs w:val="22"/>
          <w:lang w:val="zh-CN"/>
        </w:rPr>
      </w:pPr>
      <w:r>
        <w:rPr>
          <w:rFonts w:hint="eastAsia" w:eastAsia="黑体"/>
          <w:b/>
          <w:bCs/>
          <w:szCs w:val="22"/>
          <w:lang w:val="zh-CN"/>
        </w:rPr>
        <w:t>表二  各学院就业率及排名</w:t>
      </w:r>
    </w:p>
    <w:tbl>
      <w:tblPr>
        <w:tblStyle w:val="16"/>
        <w:tblW w:w="831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single" w:color="FFFFFF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23"/>
        <w:gridCol w:w="1695"/>
        <w:gridCol w:w="1485"/>
        <w:gridCol w:w="1350"/>
        <w:gridCol w:w="85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single" w:color="FFFFF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923" w:type="dxa"/>
            <w:shd w:val="clear" w:color="auto" w:fill="B6DDE8" w:themeFill="accent5" w:themeFillTint="66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Times New Roman"/>
                <w:b/>
                <w:kern w:val="0"/>
              </w:rPr>
            </w:pPr>
            <w:r>
              <w:rPr>
                <w:rFonts w:eastAsia="Times New Roman"/>
                <w:b/>
                <w:kern w:val="0"/>
              </w:rPr>
              <w:t>学院</w:t>
            </w:r>
          </w:p>
        </w:tc>
        <w:tc>
          <w:tcPr>
            <w:tcW w:w="1695" w:type="dxa"/>
            <w:shd w:val="clear" w:color="auto" w:fill="B6DDE8" w:themeFill="accent5" w:themeFillTint="66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Times New Roman"/>
                <w:b/>
                <w:kern w:val="0"/>
              </w:rPr>
            </w:pPr>
            <w:r>
              <w:rPr>
                <w:rFonts w:eastAsia="Times New Roman"/>
                <w:b/>
                <w:kern w:val="0"/>
              </w:rPr>
              <w:t>毕业生人数</w:t>
            </w:r>
          </w:p>
        </w:tc>
        <w:tc>
          <w:tcPr>
            <w:tcW w:w="1485" w:type="dxa"/>
            <w:shd w:val="clear" w:color="auto" w:fill="B6DDE8" w:themeFill="accent5" w:themeFillTint="66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Times New Roman"/>
                <w:b/>
                <w:kern w:val="0"/>
              </w:rPr>
            </w:pPr>
            <w:r>
              <w:rPr>
                <w:rFonts w:eastAsia="Times New Roman"/>
                <w:b/>
                <w:kern w:val="0"/>
              </w:rPr>
              <w:t>就业人数</w:t>
            </w:r>
          </w:p>
        </w:tc>
        <w:tc>
          <w:tcPr>
            <w:tcW w:w="1350" w:type="dxa"/>
            <w:shd w:val="clear" w:color="auto" w:fill="B6DDE8" w:themeFill="accent5" w:themeFillTint="66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Times New Roman"/>
                <w:b/>
                <w:kern w:val="0"/>
              </w:rPr>
            </w:pPr>
            <w:r>
              <w:rPr>
                <w:rFonts w:eastAsia="Times New Roman"/>
                <w:b/>
                <w:kern w:val="0"/>
              </w:rPr>
              <w:t>就业率</w:t>
            </w:r>
          </w:p>
        </w:tc>
        <w:tc>
          <w:tcPr>
            <w:tcW w:w="859" w:type="dxa"/>
            <w:shd w:val="clear" w:color="auto" w:fill="B6DDE8" w:themeFill="accent5" w:themeFillTint="66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Times New Roman"/>
                <w:b/>
                <w:kern w:val="0"/>
              </w:rPr>
            </w:pPr>
            <w:r>
              <w:rPr>
                <w:rFonts w:eastAsia="Times New Roman"/>
                <w:b/>
                <w:kern w:val="0"/>
              </w:rPr>
              <w:t>排名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single" w:color="FFFFF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923" w:type="dxa"/>
            <w:shd w:val="clear" w:color="auto" w:fill="ECEEEE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</w:rPr>
            </w:pPr>
            <w:r>
              <w:rPr>
                <w:rFonts w:hint="eastAsia" w:eastAsia="Times New Roman"/>
                <w:kern w:val="0"/>
              </w:rPr>
              <w:t>材料与化学工程学院</w:t>
            </w:r>
          </w:p>
        </w:tc>
        <w:tc>
          <w:tcPr>
            <w:tcW w:w="1695" w:type="dxa"/>
            <w:shd w:val="clear" w:color="auto" w:fill="ECEEEE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329</w:t>
            </w:r>
          </w:p>
        </w:tc>
        <w:tc>
          <w:tcPr>
            <w:tcW w:w="1485" w:type="dxa"/>
            <w:shd w:val="clear" w:color="auto" w:fill="ECEEEE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327</w:t>
            </w:r>
          </w:p>
        </w:tc>
        <w:tc>
          <w:tcPr>
            <w:tcW w:w="1350" w:type="dxa"/>
            <w:shd w:val="clear" w:color="auto" w:fill="ECEEEE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99.39%</w:t>
            </w:r>
          </w:p>
        </w:tc>
        <w:tc>
          <w:tcPr>
            <w:tcW w:w="859" w:type="dxa"/>
            <w:shd w:val="clear" w:color="auto" w:fill="ECEEEE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Times New Roman" w:cs="Times New Roman"/>
                <w:szCs w:val="21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single" w:color="FFFFF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923" w:type="dxa"/>
            <w:shd w:val="clear" w:color="auto" w:fill="B6DDE8" w:themeFill="accent5" w:themeFillTint="66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</w:rPr>
            </w:pPr>
            <w:r>
              <w:rPr>
                <w:rFonts w:hint="eastAsia" w:ascii="宋体" w:hAnsi="宋体" w:eastAsia="Times New Roman"/>
                <w:kern w:val="0"/>
              </w:rPr>
              <w:t>建筑与交通工程学院</w:t>
            </w:r>
          </w:p>
        </w:tc>
        <w:tc>
          <w:tcPr>
            <w:tcW w:w="1695" w:type="dxa"/>
            <w:shd w:val="clear" w:color="auto" w:fill="B6DDE8" w:themeFill="accent5" w:themeFillTint="66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416</w:t>
            </w:r>
          </w:p>
        </w:tc>
        <w:tc>
          <w:tcPr>
            <w:tcW w:w="1485" w:type="dxa"/>
            <w:shd w:val="clear" w:color="auto" w:fill="B6DDE8" w:themeFill="accent5" w:themeFillTint="66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413</w:t>
            </w:r>
          </w:p>
        </w:tc>
        <w:tc>
          <w:tcPr>
            <w:tcW w:w="1350" w:type="dxa"/>
            <w:shd w:val="clear" w:color="auto" w:fill="B6DDE8" w:themeFill="accent5" w:themeFillTint="66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99.28%</w:t>
            </w:r>
          </w:p>
        </w:tc>
        <w:tc>
          <w:tcPr>
            <w:tcW w:w="859" w:type="dxa"/>
            <w:shd w:val="clear" w:color="auto" w:fill="B6DDE8" w:themeFill="accent5" w:themeFillTint="66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Times New Roman" w:cs="Times New Roman"/>
                <w:szCs w:val="21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single" w:color="FFFFF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923" w:type="dxa"/>
            <w:shd w:val="clear" w:color="auto" w:fill="ECEEEE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Times New Roman"/>
                <w:kern w:val="0"/>
              </w:rPr>
            </w:pPr>
            <w:r>
              <w:rPr>
                <w:rFonts w:hint="eastAsia" w:ascii="宋体" w:hAnsi="宋体" w:eastAsia="Times New Roman"/>
                <w:kern w:val="0"/>
              </w:rPr>
              <w:t>经济与管理学院</w:t>
            </w:r>
          </w:p>
        </w:tc>
        <w:tc>
          <w:tcPr>
            <w:tcW w:w="1695" w:type="dxa"/>
            <w:shd w:val="clear" w:color="auto" w:fill="ECEEEE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639</w:t>
            </w:r>
          </w:p>
        </w:tc>
        <w:tc>
          <w:tcPr>
            <w:tcW w:w="1485" w:type="dxa"/>
            <w:shd w:val="clear" w:color="auto" w:fill="ECEEEE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634</w:t>
            </w:r>
          </w:p>
        </w:tc>
        <w:tc>
          <w:tcPr>
            <w:tcW w:w="1350" w:type="dxa"/>
            <w:shd w:val="clear" w:color="auto" w:fill="ECEEEE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99.22%</w:t>
            </w:r>
          </w:p>
        </w:tc>
        <w:tc>
          <w:tcPr>
            <w:tcW w:w="859" w:type="dxa"/>
            <w:shd w:val="clear" w:color="auto" w:fill="ECEEEE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Times New Roman" w:cs="Times New Roman"/>
                <w:szCs w:val="21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single" w:color="FFFFF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923" w:type="dxa"/>
            <w:shd w:val="clear" w:color="auto" w:fill="B6DDE8" w:themeFill="accent5" w:themeFillTint="66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Times New Roman"/>
                <w:kern w:val="0"/>
              </w:rPr>
            </w:pPr>
            <w:r>
              <w:rPr>
                <w:rFonts w:hint="eastAsia" w:ascii="宋体" w:hAnsi="宋体" w:eastAsia="Times New Roman"/>
                <w:kern w:val="0"/>
              </w:rPr>
              <w:t>机械工程学院</w:t>
            </w:r>
          </w:p>
        </w:tc>
        <w:tc>
          <w:tcPr>
            <w:tcW w:w="1695" w:type="dxa"/>
            <w:shd w:val="clear" w:color="auto" w:fill="B6DDE8" w:themeFill="accent5" w:themeFillTint="66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502</w:t>
            </w:r>
          </w:p>
        </w:tc>
        <w:tc>
          <w:tcPr>
            <w:tcW w:w="1485" w:type="dxa"/>
            <w:shd w:val="clear" w:color="auto" w:fill="B6DDE8" w:themeFill="accent5" w:themeFillTint="66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491</w:t>
            </w:r>
          </w:p>
        </w:tc>
        <w:tc>
          <w:tcPr>
            <w:tcW w:w="1350" w:type="dxa"/>
            <w:shd w:val="clear" w:color="auto" w:fill="B6DDE8" w:themeFill="accent5" w:themeFillTint="66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97.81%</w:t>
            </w:r>
          </w:p>
        </w:tc>
        <w:tc>
          <w:tcPr>
            <w:tcW w:w="859" w:type="dxa"/>
            <w:shd w:val="clear" w:color="auto" w:fill="B6DDE8" w:themeFill="accent5" w:themeFillTint="66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Times New Roman" w:cs="Times New Roman"/>
                <w:szCs w:val="21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single" w:color="FFFFF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923" w:type="dxa"/>
            <w:shd w:val="clear" w:color="auto" w:fill="ECEEEE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</w:rPr>
            </w:pPr>
            <w:r>
              <w:rPr>
                <w:rFonts w:hint="eastAsia" w:eastAsia="Times New Roman"/>
                <w:kern w:val="0"/>
              </w:rPr>
              <w:t>外国语学院</w:t>
            </w:r>
          </w:p>
        </w:tc>
        <w:tc>
          <w:tcPr>
            <w:tcW w:w="1695" w:type="dxa"/>
            <w:shd w:val="clear" w:color="auto" w:fill="ECEEEE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380</w:t>
            </w:r>
          </w:p>
        </w:tc>
        <w:tc>
          <w:tcPr>
            <w:tcW w:w="1485" w:type="dxa"/>
            <w:shd w:val="clear" w:color="auto" w:fill="ECEEEE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369</w:t>
            </w:r>
          </w:p>
        </w:tc>
        <w:tc>
          <w:tcPr>
            <w:tcW w:w="1350" w:type="dxa"/>
            <w:shd w:val="clear" w:color="auto" w:fill="ECEEEE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97.11%</w:t>
            </w:r>
          </w:p>
        </w:tc>
        <w:tc>
          <w:tcPr>
            <w:tcW w:w="859" w:type="dxa"/>
            <w:shd w:val="clear" w:color="auto" w:fill="ECEEEE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Times New Roman" w:cs="Times New Roman"/>
                <w:szCs w:val="21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single" w:color="FFFFF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923" w:type="dxa"/>
            <w:shd w:val="clear" w:color="auto" w:fill="B6DDE8" w:themeFill="accent5" w:themeFillTint="66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</w:rPr>
            </w:pPr>
            <w:r>
              <w:rPr>
                <w:rFonts w:hint="eastAsia" w:ascii="宋体" w:hAnsi="宋体" w:eastAsia="Times New Roman"/>
                <w:kern w:val="0"/>
              </w:rPr>
              <w:t>理学院</w:t>
            </w:r>
          </w:p>
        </w:tc>
        <w:tc>
          <w:tcPr>
            <w:tcW w:w="1695" w:type="dxa"/>
            <w:shd w:val="clear" w:color="auto" w:fill="B6DDE8" w:themeFill="accent5" w:themeFillTint="66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206</w:t>
            </w:r>
          </w:p>
        </w:tc>
        <w:tc>
          <w:tcPr>
            <w:tcW w:w="1485" w:type="dxa"/>
            <w:shd w:val="clear" w:color="auto" w:fill="B6DDE8" w:themeFill="accent5" w:themeFillTint="66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199</w:t>
            </w:r>
          </w:p>
        </w:tc>
        <w:tc>
          <w:tcPr>
            <w:tcW w:w="1350" w:type="dxa"/>
            <w:shd w:val="clear" w:color="auto" w:fill="B6DDE8" w:themeFill="accent5" w:themeFillTint="66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96.60%</w:t>
            </w:r>
          </w:p>
        </w:tc>
        <w:tc>
          <w:tcPr>
            <w:tcW w:w="859" w:type="dxa"/>
            <w:shd w:val="clear" w:color="auto" w:fill="B6DDE8" w:themeFill="accent5" w:themeFillTint="66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Times New Roman" w:cs="Times New Roman"/>
                <w:szCs w:val="21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single" w:color="FFFFF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923" w:type="dxa"/>
            <w:shd w:val="clear" w:color="auto" w:fill="ECEEEE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</w:rPr>
            </w:pPr>
            <w:r>
              <w:rPr>
                <w:rFonts w:hint="eastAsia" w:ascii="宋体" w:hAnsi="宋体" w:eastAsia="Times New Roman"/>
                <w:kern w:val="0"/>
              </w:rPr>
              <w:t>国际交流学院</w:t>
            </w:r>
          </w:p>
        </w:tc>
        <w:tc>
          <w:tcPr>
            <w:tcW w:w="1695" w:type="dxa"/>
            <w:shd w:val="clear" w:color="auto" w:fill="ECEEEE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94</w:t>
            </w:r>
          </w:p>
        </w:tc>
        <w:tc>
          <w:tcPr>
            <w:tcW w:w="1485" w:type="dxa"/>
            <w:shd w:val="clear" w:color="auto" w:fill="ECEEEE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90</w:t>
            </w:r>
          </w:p>
        </w:tc>
        <w:tc>
          <w:tcPr>
            <w:tcW w:w="1350" w:type="dxa"/>
            <w:shd w:val="clear" w:color="auto" w:fill="ECEEEE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95.74%</w:t>
            </w:r>
          </w:p>
        </w:tc>
        <w:tc>
          <w:tcPr>
            <w:tcW w:w="859" w:type="dxa"/>
            <w:shd w:val="clear" w:color="auto" w:fill="ECEEEE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Times New Roman" w:cs="Times New Roman"/>
                <w:szCs w:val="21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single" w:color="FFFFF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2923" w:type="dxa"/>
            <w:shd w:val="clear" w:color="auto" w:fill="B6DDE8" w:themeFill="accent5" w:themeFillTint="66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</w:rPr>
            </w:pPr>
            <w:r>
              <w:rPr>
                <w:rFonts w:hint="eastAsia" w:ascii="宋体" w:hAnsi="宋体" w:eastAsia="Times New Roman"/>
                <w:kern w:val="0"/>
              </w:rPr>
              <w:t>电子信息工程学院</w:t>
            </w:r>
          </w:p>
        </w:tc>
        <w:tc>
          <w:tcPr>
            <w:tcW w:w="1695" w:type="dxa"/>
            <w:shd w:val="clear" w:color="auto" w:fill="B6DDE8" w:themeFill="accent5" w:themeFillTint="66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610</w:t>
            </w:r>
          </w:p>
        </w:tc>
        <w:tc>
          <w:tcPr>
            <w:tcW w:w="1485" w:type="dxa"/>
            <w:shd w:val="clear" w:color="auto" w:fill="B6DDE8" w:themeFill="accent5" w:themeFillTint="66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58</w:t>
            </w:r>
            <w:r>
              <w:rPr>
                <w:rFonts w:hint="eastAsia" w:ascii="Times New Roman" w:hAnsi="Times New Roman" w:eastAsia="Times New Roman" w:cs="Times New Roman"/>
                <w:color w:val="000000"/>
                <w:kern w:val="0"/>
                <w:sz w:val="24"/>
              </w:rPr>
              <w:t>4</w:t>
            </w:r>
          </w:p>
        </w:tc>
        <w:tc>
          <w:tcPr>
            <w:tcW w:w="1350" w:type="dxa"/>
            <w:shd w:val="clear" w:color="auto" w:fill="B6DDE8" w:themeFill="accent5" w:themeFillTint="66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95.</w:t>
            </w:r>
            <w:r>
              <w:rPr>
                <w:rFonts w:hint="eastAsia" w:ascii="Times New Roman" w:hAnsi="Times New Roman" w:eastAsia="Times New Roman" w:cs="Times New Roman"/>
                <w:color w:val="000000"/>
                <w:kern w:val="0"/>
                <w:sz w:val="24"/>
              </w:rPr>
              <w:t>74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%</w:t>
            </w:r>
          </w:p>
        </w:tc>
        <w:tc>
          <w:tcPr>
            <w:tcW w:w="859" w:type="dxa"/>
            <w:shd w:val="clear" w:color="auto" w:fill="B6DDE8" w:themeFill="accent5" w:themeFillTint="66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  <w:r>
              <w:rPr>
                <w:rFonts w:hint="eastAsia" w:ascii="Times New Roman" w:hAnsi="Times New Roman" w:eastAsia="Times New Roman" w:cs="Times New Roman"/>
                <w:szCs w:val="21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single" w:color="FFFFF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2923" w:type="dxa"/>
            <w:shd w:val="clear" w:color="auto" w:fill="ECEEEE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Times New Roman"/>
                <w:kern w:val="0"/>
              </w:rPr>
            </w:pPr>
            <w:r>
              <w:rPr>
                <w:rFonts w:hint="eastAsia" w:ascii="宋体" w:hAnsi="宋体" w:eastAsia="Times New Roman"/>
                <w:kern w:val="0"/>
              </w:rPr>
              <w:t>人文与艺术学院</w:t>
            </w:r>
          </w:p>
        </w:tc>
        <w:tc>
          <w:tcPr>
            <w:tcW w:w="1695" w:type="dxa"/>
            <w:shd w:val="clear" w:color="auto" w:fill="ECEEEE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326</w:t>
            </w:r>
          </w:p>
        </w:tc>
        <w:tc>
          <w:tcPr>
            <w:tcW w:w="1485" w:type="dxa"/>
            <w:shd w:val="clear" w:color="auto" w:fill="ECEEEE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312</w:t>
            </w:r>
          </w:p>
        </w:tc>
        <w:tc>
          <w:tcPr>
            <w:tcW w:w="1350" w:type="dxa"/>
            <w:shd w:val="clear" w:color="auto" w:fill="ECEEEE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95.71%</w:t>
            </w:r>
          </w:p>
        </w:tc>
        <w:tc>
          <w:tcPr>
            <w:tcW w:w="859" w:type="dxa"/>
            <w:shd w:val="clear" w:color="auto" w:fill="ECEEEE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Times New Roman" w:cs="Times New Roman"/>
                <w:szCs w:val="21"/>
              </w:rPr>
            </w:pPr>
            <w:r>
              <w:rPr>
                <w:rFonts w:hint="eastAsia" w:ascii="Times New Roman" w:hAnsi="Times New Roman" w:eastAsia="Times New Roman" w:cs="Times New Roman"/>
                <w:szCs w:val="21"/>
              </w:rPr>
              <w:t>8</w:t>
            </w:r>
          </w:p>
        </w:tc>
      </w:tr>
    </w:tbl>
    <w:p>
      <w:pPr>
        <w:pStyle w:val="23"/>
        <w:rPr>
          <w:rFonts w:hint="eastAsia" w:hAnsi="宋体" w:eastAsia="宋体" w:cs="Times New Roman"/>
          <w:lang w:val="zh-CN"/>
        </w:rPr>
      </w:pPr>
    </w:p>
    <w:p>
      <w:pPr>
        <w:pStyle w:val="23"/>
        <w:rPr>
          <w:rFonts w:eastAsia="黑体"/>
          <w:b/>
          <w:bCs/>
          <w:szCs w:val="22"/>
          <w:lang w:val="zh-CN"/>
        </w:rPr>
      </w:pPr>
      <w:r>
        <w:rPr>
          <w:rFonts w:hint="eastAsia" w:hAnsi="宋体" w:eastAsia="宋体" w:cs="Times New Roman"/>
          <w:lang w:val="zh-CN"/>
        </w:rPr>
        <w:t>签约率排名前三位分别是机械工程学院（</w:t>
      </w:r>
      <w:r>
        <w:rPr>
          <w:rFonts w:hint="eastAsia" w:ascii="Times New Roman" w:hAnsi="Times New Roman" w:eastAsia="宋体" w:cs="Times New Roman"/>
        </w:rPr>
        <w:t>97.81%</w:t>
      </w:r>
      <w:r>
        <w:rPr>
          <w:rFonts w:hint="eastAsia" w:hAnsi="宋体" w:eastAsia="宋体" w:cs="Times New Roman"/>
          <w:lang w:val="zh-CN"/>
        </w:rPr>
        <w:t>）、经济与管理学院（</w:t>
      </w:r>
      <w:r>
        <w:rPr>
          <w:rFonts w:hint="eastAsia" w:ascii="Times New Roman" w:hAnsi="Times New Roman" w:eastAsia="宋体" w:cs="Times New Roman"/>
        </w:rPr>
        <w:t>97.50%</w:t>
      </w:r>
      <w:r>
        <w:rPr>
          <w:rFonts w:hint="eastAsia" w:hAnsi="宋体" w:eastAsia="宋体" w:cs="Times New Roman"/>
          <w:lang w:val="zh-CN"/>
        </w:rPr>
        <w:t>）和国际交流学院（</w:t>
      </w:r>
      <w:r>
        <w:rPr>
          <w:rFonts w:hint="eastAsia" w:ascii="Times New Roman" w:hAnsi="Times New Roman" w:eastAsia="宋体" w:cs="Times New Roman"/>
        </w:rPr>
        <w:t>95.74%</w:t>
      </w:r>
      <w:r>
        <w:rPr>
          <w:rFonts w:hint="eastAsia" w:hAnsi="宋体" w:eastAsia="宋体" w:cs="Times New Roman"/>
          <w:lang w:val="zh-CN"/>
        </w:rPr>
        <w:t>），各学院的签约率排名情况见表三。</w:t>
      </w:r>
    </w:p>
    <w:p>
      <w:pPr>
        <w:autoSpaceDE w:val="0"/>
        <w:autoSpaceDN w:val="0"/>
        <w:spacing w:line="360" w:lineRule="auto"/>
        <w:jc w:val="center"/>
        <w:rPr>
          <w:rFonts w:eastAsia="黑体"/>
          <w:b/>
          <w:bCs/>
          <w:sz w:val="24"/>
          <w:lang w:val="zh-CN"/>
        </w:rPr>
      </w:pPr>
      <w:r>
        <w:rPr>
          <w:rFonts w:hint="eastAsia" w:eastAsia="黑体"/>
          <w:b/>
          <w:bCs/>
          <w:sz w:val="24"/>
          <w:szCs w:val="22"/>
          <w:lang w:val="zh-CN"/>
        </w:rPr>
        <w:t>表三</w:t>
      </w:r>
      <w:r>
        <w:rPr>
          <w:rFonts w:hint="eastAsia" w:eastAsia="黑体"/>
          <w:b/>
          <w:bCs/>
          <w:sz w:val="24"/>
          <w:szCs w:val="22"/>
        </w:rPr>
        <w:t xml:space="preserve">  </w:t>
      </w:r>
      <w:r>
        <w:rPr>
          <w:rFonts w:hint="eastAsia" w:eastAsia="黑体"/>
          <w:b/>
          <w:bCs/>
          <w:sz w:val="24"/>
          <w:szCs w:val="22"/>
          <w:lang w:val="zh-CN"/>
        </w:rPr>
        <w:t>各学院签约率及排名</w:t>
      </w:r>
    </w:p>
    <w:tbl>
      <w:tblPr>
        <w:tblStyle w:val="16"/>
        <w:tblW w:w="831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single" w:color="FFFFFF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08"/>
        <w:gridCol w:w="1725"/>
        <w:gridCol w:w="1485"/>
        <w:gridCol w:w="1365"/>
        <w:gridCol w:w="82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single" w:color="FFFFF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908" w:type="dxa"/>
            <w:shd w:val="clear" w:color="auto" w:fill="B6DDE8" w:themeFill="accent5" w:themeFillTint="66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Times New Roman"/>
                <w:b/>
                <w:kern w:val="0"/>
              </w:rPr>
            </w:pPr>
            <w:r>
              <w:rPr>
                <w:rFonts w:eastAsia="Times New Roman"/>
                <w:b/>
                <w:kern w:val="0"/>
              </w:rPr>
              <w:t>学院</w:t>
            </w:r>
          </w:p>
        </w:tc>
        <w:tc>
          <w:tcPr>
            <w:tcW w:w="1725" w:type="dxa"/>
            <w:shd w:val="clear" w:color="auto" w:fill="B6DDE8" w:themeFill="accent5" w:themeFillTint="66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Times New Roman"/>
                <w:b/>
                <w:kern w:val="0"/>
              </w:rPr>
            </w:pPr>
            <w:r>
              <w:rPr>
                <w:rFonts w:eastAsia="Times New Roman"/>
                <w:b/>
                <w:kern w:val="0"/>
              </w:rPr>
              <w:t>毕业生人数</w:t>
            </w:r>
          </w:p>
        </w:tc>
        <w:tc>
          <w:tcPr>
            <w:tcW w:w="1485" w:type="dxa"/>
            <w:shd w:val="clear" w:color="auto" w:fill="B6DDE8" w:themeFill="accent5" w:themeFillTint="66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Times New Roman"/>
                <w:b/>
                <w:kern w:val="0"/>
              </w:rPr>
            </w:pPr>
            <w:r>
              <w:rPr>
                <w:rFonts w:hint="eastAsia" w:eastAsia="Times New Roman"/>
                <w:b/>
                <w:kern w:val="0"/>
              </w:rPr>
              <w:t>签约</w:t>
            </w:r>
            <w:r>
              <w:rPr>
                <w:rFonts w:eastAsia="Times New Roman"/>
                <w:b/>
                <w:kern w:val="0"/>
              </w:rPr>
              <w:t>人数</w:t>
            </w:r>
          </w:p>
        </w:tc>
        <w:tc>
          <w:tcPr>
            <w:tcW w:w="1365" w:type="dxa"/>
            <w:shd w:val="clear" w:color="auto" w:fill="B6DDE8" w:themeFill="accent5" w:themeFillTint="66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Times New Roman"/>
                <w:b/>
                <w:kern w:val="0"/>
              </w:rPr>
            </w:pPr>
            <w:r>
              <w:rPr>
                <w:rFonts w:hint="eastAsia" w:eastAsia="Times New Roman"/>
                <w:b/>
                <w:kern w:val="0"/>
              </w:rPr>
              <w:t>签约</w:t>
            </w:r>
            <w:r>
              <w:rPr>
                <w:rFonts w:eastAsia="Times New Roman"/>
                <w:b/>
                <w:kern w:val="0"/>
              </w:rPr>
              <w:t>率</w:t>
            </w:r>
          </w:p>
        </w:tc>
        <w:tc>
          <w:tcPr>
            <w:tcW w:w="829" w:type="dxa"/>
            <w:shd w:val="clear" w:color="auto" w:fill="B6DDE8" w:themeFill="accent5" w:themeFillTint="66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Times New Roman"/>
                <w:b/>
                <w:kern w:val="0"/>
              </w:rPr>
            </w:pPr>
            <w:r>
              <w:rPr>
                <w:rFonts w:eastAsia="Times New Roman"/>
                <w:b/>
                <w:kern w:val="0"/>
              </w:rPr>
              <w:t>排名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single" w:color="FFFFF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908" w:type="dxa"/>
            <w:shd w:val="clear" w:color="auto" w:fill="ECEEEE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Times New Roman"/>
                <w:kern w:val="0"/>
              </w:rPr>
            </w:pPr>
            <w:r>
              <w:rPr>
                <w:rFonts w:hint="eastAsia" w:ascii="宋体" w:hAnsi="宋体" w:eastAsia="Times New Roman"/>
                <w:kern w:val="0"/>
              </w:rPr>
              <w:t>机械工程学院</w:t>
            </w:r>
          </w:p>
        </w:tc>
        <w:tc>
          <w:tcPr>
            <w:tcW w:w="1725" w:type="dxa"/>
            <w:shd w:val="clear" w:color="auto" w:fill="ECEEEE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502</w:t>
            </w:r>
          </w:p>
        </w:tc>
        <w:tc>
          <w:tcPr>
            <w:tcW w:w="1485" w:type="dxa"/>
            <w:shd w:val="clear" w:color="auto" w:fill="ECEEEE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 xml:space="preserve">491 </w:t>
            </w:r>
          </w:p>
        </w:tc>
        <w:tc>
          <w:tcPr>
            <w:tcW w:w="1365" w:type="dxa"/>
            <w:shd w:val="clear" w:color="auto" w:fill="ECEEEE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97.81%</w:t>
            </w:r>
          </w:p>
        </w:tc>
        <w:tc>
          <w:tcPr>
            <w:tcW w:w="829" w:type="dxa"/>
            <w:shd w:val="clear" w:color="auto" w:fill="ECEEEE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Times New Roman" w:cs="Times New Roman"/>
                <w:szCs w:val="21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single" w:color="FFFFF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908" w:type="dxa"/>
            <w:shd w:val="clear" w:color="auto" w:fill="B6DDE8" w:themeFill="accent5" w:themeFillTint="66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Times New Roman"/>
                <w:kern w:val="0"/>
              </w:rPr>
            </w:pPr>
            <w:r>
              <w:rPr>
                <w:rFonts w:hint="eastAsia" w:hAnsi="Arial" w:eastAsia="Times New Roman"/>
                <w:kern w:val="0"/>
              </w:rPr>
              <w:t>经济与管理学院</w:t>
            </w:r>
          </w:p>
        </w:tc>
        <w:tc>
          <w:tcPr>
            <w:tcW w:w="1725" w:type="dxa"/>
            <w:shd w:val="clear" w:color="auto" w:fill="B6DDE8" w:themeFill="accent5" w:themeFillTint="66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639</w:t>
            </w:r>
          </w:p>
        </w:tc>
        <w:tc>
          <w:tcPr>
            <w:tcW w:w="1485" w:type="dxa"/>
            <w:shd w:val="clear" w:color="auto" w:fill="B6DDE8" w:themeFill="accent5" w:themeFillTint="66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 xml:space="preserve">623 </w:t>
            </w:r>
          </w:p>
        </w:tc>
        <w:tc>
          <w:tcPr>
            <w:tcW w:w="1365" w:type="dxa"/>
            <w:shd w:val="clear" w:color="auto" w:fill="B6DDE8" w:themeFill="accent5" w:themeFillTint="66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97.50%</w:t>
            </w:r>
          </w:p>
        </w:tc>
        <w:tc>
          <w:tcPr>
            <w:tcW w:w="829" w:type="dxa"/>
            <w:shd w:val="clear" w:color="auto" w:fill="B6DDE8" w:themeFill="accent5" w:themeFillTint="66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Times New Roman" w:cs="Times New Roman"/>
                <w:szCs w:val="21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single" w:color="FFFFF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908" w:type="dxa"/>
            <w:shd w:val="clear" w:color="auto" w:fill="ECEEEE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Times New Roman"/>
                <w:kern w:val="0"/>
              </w:rPr>
            </w:pPr>
            <w:r>
              <w:rPr>
                <w:rFonts w:hint="eastAsia" w:ascii="宋体" w:hAnsi="宋体" w:eastAsia="Times New Roman"/>
                <w:kern w:val="0"/>
              </w:rPr>
              <w:t>国际交流学院</w:t>
            </w:r>
          </w:p>
        </w:tc>
        <w:tc>
          <w:tcPr>
            <w:tcW w:w="1725" w:type="dxa"/>
            <w:shd w:val="clear" w:color="auto" w:fill="ECEEEE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94</w:t>
            </w:r>
          </w:p>
        </w:tc>
        <w:tc>
          <w:tcPr>
            <w:tcW w:w="1485" w:type="dxa"/>
            <w:shd w:val="clear" w:color="auto" w:fill="ECEEEE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 xml:space="preserve">90 </w:t>
            </w:r>
          </w:p>
        </w:tc>
        <w:tc>
          <w:tcPr>
            <w:tcW w:w="1365" w:type="dxa"/>
            <w:shd w:val="clear" w:color="auto" w:fill="ECEEEE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95.74%</w:t>
            </w:r>
          </w:p>
        </w:tc>
        <w:tc>
          <w:tcPr>
            <w:tcW w:w="829" w:type="dxa"/>
            <w:shd w:val="clear" w:color="auto" w:fill="ECEEEE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Times New Roman" w:cs="Times New Roman"/>
                <w:szCs w:val="21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single" w:color="FFFFF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908" w:type="dxa"/>
            <w:shd w:val="clear" w:color="auto" w:fill="B6DDE8" w:themeFill="accent5" w:themeFillTint="66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Times New Roman"/>
                <w:kern w:val="0"/>
              </w:rPr>
            </w:pPr>
            <w:r>
              <w:rPr>
                <w:rFonts w:hint="eastAsia" w:ascii="宋体" w:hAnsi="宋体" w:eastAsia="Times New Roman"/>
                <w:kern w:val="0"/>
              </w:rPr>
              <w:t>建筑与交通工程学院</w:t>
            </w:r>
          </w:p>
        </w:tc>
        <w:tc>
          <w:tcPr>
            <w:tcW w:w="1725" w:type="dxa"/>
            <w:shd w:val="clear" w:color="auto" w:fill="B6DDE8" w:themeFill="accent5" w:themeFillTint="66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416</w:t>
            </w:r>
          </w:p>
        </w:tc>
        <w:tc>
          <w:tcPr>
            <w:tcW w:w="1485" w:type="dxa"/>
            <w:shd w:val="clear" w:color="auto" w:fill="B6DDE8" w:themeFill="accent5" w:themeFillTint="66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 xml:space="preserve">398 </w:t>
            </w:r>
          </w:p>
        </w:tc>
        <w:tc>
          <w:tcPr>
            <w:tcW w:w="1365" w:type="dxa"/>
            <w:shd w:val="clear" w:color="auto" w:fill="B6DDE8" w:themeFill="accent5" w:themeFillTint="66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95.67%</w:t>
            </w:r>
          </w:p>
        </w:tc>
        <w:tc>
          <w:tcPr>
            <w:tcW w:w="829" w:type="dxa"/>
            <w:shd w:val="clear" w:color="auto" w:fill="B6DDE8" w:themeFill="accent5" w:themeFillTint="66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Times New Roman" w:cs="Times New Roman"/>
                <w:szCs w:val="21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single" w:color="FFFFF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908" w:type="dxa"/>
            <w:shd w:val="clear" w:color="auto" w:fill="ECEEEE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Times New Roman"/>
                <w:kern w:val="0"/>
              </w:rPr>
            </w:pPr>
            <w:r>
              <w:rPr>
                <w:rFonts w:hint="eastAsia" w:eastAsia="Times New Roman"/>
                <w:kern w:val="0"/>
              </w:rPr>
              <w:t>材料与化学工程学院</w:t>
            </w:r>
          </w:p>
        </w:tc>
        <w:tc>
          <w:tcPr>
            <w:tcW w:w="1725" w:type="dxa"/>
            <w:shd w:val="clear" w:color="auto" w:fill="ECEEEE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329</w:t>
            </w:r>
          </w:p>
        </w:tc>
        <w:tc>
          <w:tcPr>
            <w:tcW w:w="1485" w:type="dxa"/>
            <w:shd w:val="clear" w:color="auto" w:fill="ECEEEE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 xml:space="preserve">308 </w:t>
            </w:r>
          </w:p>
        </w:tc>
        <w:tc>
          <w:tcPr>
            <w:tcW w:w="1365" w:type="dxa"/>
            <w:shd w:val="clear" w:color="auto" w:fill="ECEEEE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93.62%</w:t>
            </w:r>
          </w:p>
        </w:tc>
        <w:tc>
          <w:tcPr>
            <w:tcW w:w="829" w:type="dxa"/>
            <w:shd w:val="clear" w:color="auto" w:fill="ECEEEE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Times New Roman" w:cs="Times New Roman"/>
                <w:szCs w:val="21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single" w:color="FFFFF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908" w:type="dxa"/>
            <w:shd w:val="clear" w:color="auto" w:fill="B6DDE8" w:themeFill="accent5" w:themeFillTint="66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Times New Roman"/>
                <w:kern w:val="0"/>
              </w:rPr>
            </w:pPr>
            <w:r>
              <w:rPr>
                <w:rFonts w:hint="eastAsia" w:ascii="宋体" w:hAnsi="宋体" w:eastAsia="Times New Roman"/>
                <w:kern w:val="0"/>
              </w:rPr>
              <w:t>人文与艺术学院</w:t>
            </w:r>
          </w:p>
        </w:tc>
        <w:tc>
          <w:tcPr>
            <w:tcW w:w="1725" w:type="dxa"/>
            <w:shd w:val="clear" w:color="auto" w:fill="B6DDE8" w:themeFill="accent5" w:themeFillTint="66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326</w:t>
            </w:r>
          </w:p>
        </w:tc>
        <w:tc>
          <w:tcPr>
            <w:tcW w:w="1485" w:type="dxa"/>
            <w:shd w:val="clear" w:color="auto" w:fill="B6DDE8" w:themeFill="accent5" w:themeFillTint="66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 xml:space="preserve">294 </w:t>
            </w:r>
          </w:p>
        </w:tc>
        <w:tc>
          <w:tcPr>
            <w:tcW w:w="1365" w:type="dxa"/>
            <w:shd w:val="clear" w:color="auto" w:fill="B6DDE8" w:themeFill="accent5" w:themeFillTint="66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90.18%</w:t>
            </w:r>
          </w:p>
        </w:tc>
        <w:tc>
          <w:tcPr>
            <w:tcW w:w="829" w:type="dxa"/>
            <w:shd w:val="clear" w:color="auto" w:fill="B6DDE8" w:themeFill="accent5" w:themeFillTint="66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Times New Roman" w:cs="Times New Roman"/>
                <w:szCs w:val="21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single" w:color="FFFFF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908" w:type="dxa"/>
            <w:shd w:val="clear" w:color="auto" w:fill="ECEEEE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Times New Roman"/>
                <w:kern w:val="0"/>
              </w:rPr>
            </w:pPr>
            <w:r>
              <w:rPr>
                <w:rFonts w:hint="eastAsia" w:eastAsia="Times New Roman"/>
                <w:kern w:val="0"/>
              </w:rPr>
              <w:t>外国语学院</w:t>
            </w:r>
          </w:p>
        </w:tc>
        <w:tc>
          <w:tcPr>
            <w:tcW w:w="1725" w:type="dxa"/>
            <w:shd w:val="clear" w:color="auto" w:fill="ECEEEE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380</w:t>
            </w:r>
          </w:p>
        </w:tc>
        <w:tc>
          <w:tcPr>
            <w:tcW w:w="1485" w:type="dxa"/>
            <w:shd w:val="clear" w:color="auto" w:fill="ECEEEE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 xml:space="preserve">337 </w:t>
            </w:r>
          </w:p>
        </w:tc>
        <w:tc>
          <w:tcPr>
            <w:tcW w:w="1365" w:type="dxa"/>
            <w:shd w:val="clear" w:color="auto" w:fill="ECEEEE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88.68%</w:t>
            </w:r>
          </w:p>
        </w:tc>
        <w:tc>
          <w:tcPr>
            <w:tcW w:w="829" w:type="dxa"/>
            <w:shd w:val="clear" w:color="auto" w:fill="ECEEEE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Times New Roman" w:cs="Times New Roman"/>
                <w:szCs w:val="21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single" w:color="FFFFF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908" w:type="dxa"/>
            <w:shd w:val="clear" w:color="auto" w:fill="B6DDE8" w:themeFill="accent5" w:themeFillTint="66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Times New Roman"/>
                <w:kern w:val="0"/>
              </w:rPr>
            </w:pPr>
            <w:r>
              <w:rPr>
                <w:rFonts w:hint="eastAsia" w:ascii="宋体" w:hAnsi="宋体" w:eastAsia="Times New Roman"/>
                <w:kern w:val="0"/>
              </w:rPr>
              <w:t>理学院</w:t>
            </w:r>
          </w:p>
        </w:tc>
        <w:tc>
          <w:tcPr>
            <w:tcW w:w="1725" w:type="dxa"/>
            <w:shd w:val="clear" w:color="auto" w:fill="B6DDE8" w:themeFill="accent5" w:themeFillTint="66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206</w:t>
            </w:r>
          </w:p>
        </w:tc>
        <w:tc>
          <w:tcPr>
            <w:tcW w:w="1485" w:type="dxa"/>
            <w:shd w:val="clear" w:color="auto" w:fill="B6DDE8" w:themeFill="accent5" w:themeFillTint="66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 xml:space="preserve">182 </w:t>
            </w:r>
          </w:p>
        </w:tc>
        <w:tc>
          <w:tcPr>
            <w:tcW w:w="1365" w:type="dxa"/>
            <w:shd w:val="clear" w:color="auto" w:fill="B6DDE8" w:themeFill="accent5" w:themeFillTint="66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88.35%</w:t>
            </w:r>
          </w:p>
        </w:tc>
        <w:tc>
          <w:tcPr>
            <w:tcW w:w="829" w:type="dxa"/>
            <w:shd w:val="clear" w:color="auto" w:fill="B6DDE8" w:themeFill="accent5" w:themeFillTint="66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Times New Roman" w:cs="Times New Roman"/>
                <w:szCs w:val="21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single" w:color="FFFFF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908" w:type="dxa"/>
            <w:shd w:val="clear" w:color="auto" w:fill="ECEEEE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Times New Roman"/>
                <w:kern w:val="0"/>
              </w:rPr>
            </w:pPr>
            <w:r>
              <w:rPr>
                <w:rFonts w:hint="eastAsia" w:ascii="宋体" w:hAnsi="宋体" w:eastAsia="Times New Roman"/>
                <w:kern w:val="0"/>
              </w:rPr>
              <w:t>电子信息工程学院</w:t>
            </w:r>
          </w:p>
        </w:tc>
        <w:tc>
          <w:tcPr>
            <w:tcW w:w="1725" w:type="dxa"/>
            <w:shd w:val="clear" w:color="auto" w:fill="ECEEEE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610</w:t>
            </w:r>
          </w:p>
        </w:tc>
        <w:tc>
          <w:tcPr>
            <w:tcW w:w="1485" w:type="dxa"/>
            <w:shd w:val="clear" w:color="auto" w:fill="ECEEEE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 xml:space="preserve">538 </w:t>
            </w:r>
          </w:p>
        </w:tc>
        <w:tc>
          <w:tcPr>
            <w:tcW w:w="1365" w:type="dxa"/>
            <w:shd w:val="clear" w:color="auto" w:fill="ECEEEE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88.20%</w:t>
            </w:r>
          </w:p>
        </w:tc>
        <w:tc>
          <w:tcPr>
            <w:tcW w:w="829" w:type="dxa"/>
            <w:shd w:val="clear" w:color="auto" w:fill="ECEEEE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Times New Roman" w:cs="Times New Roman"/>
                <w:szCs w:val="21"/>
              </w:rPr>
              <w:t>9</w:t>
            </w:r>
          </w:p>
        </w:tc>
      </w:tr>
    </w:tbl>
    <w:p>
      <w:pPr>
        <w:autoSpaceDE w:val="0"/>
        <w:autoSpaceDN w:val="0"/>
        <w:spacing w:line="360" w:lineRule="auto"/>
        <w:ind w:firstLine="480" w:firstLineChars="200"/>
        <w:rPr>
          <w:rFonts w:hint="eastAsia" w:hAnsi="宋体" w:cs="Times New Roman"/>
          <w:sz w:val="24"/>
          <w:lang w:val="zh-CN"/>
        </w:rPr>
      </w:pPr>
    </w:p>
    <w:p>
      <w:pPr>
        <w:autoSpaceDE w:val="0"/>
        <w:autoSpaceDN w:val="0"/>
        <w:spacing w:line="360" w:lineRule="auto"/>
        <w:ind w:firstLine="480" w:firstLineChars="200"/>
        <w:rPr>
          <w:rFonts w:hAnsi="宋体" w:cs="Times New Roman"/>
          <w:sz w:val="24"/>
          <w:lang w:val="zh-CN"/>
        </w:rPr>
      </w:pPr>
      <w:r>
        <w:rPr>
          <w:rFonts w:hint="eastAsia" w:hAnsi="宋体" w:cs="Times New Roman"/>
          <w:sz w:val="24"/>
          <w:lang w:val="zh-CN"/>
        </w:rPr>
        <w:t>油气储运工程、国际经济与贸易、物流工程、市场营销、建筑环境与能源应用工程、建筑学、工程管理、材料成型及控制工程、材料物理、安全工程、材料科学与工程、工业设计、广告学等十三个专业的就业率、签约率皆达到</w:t>
      </w:r>
      <w:r>
        <w:rPr>
          <w:rFonts w:ascii="Times New Roman" w:hAnsi="Times New Roman" w:cs="Times New Roman"/>
          <w:sz w:val="24"/>
          <w:lang w:val="zh-CN"/>
        </w:rPr>
        <w:t>100%</w:t>
      </w:r>
      <w:r>
        <w:rPr>
          <w:rFonts w:hint="eastAsia" w:hAnsi="宋体" w:cs="Times New Roman"/>
          <w:sz w:val="24"/>
          <w:lang w:val="zh-CN"/>
        </w:rPr>
        <w:t>，各专业的就业率、签约率见表四。</w:t>
      </w:r>
    </w:p>
    <w:p>
      <w:pPr>
        <w:pStyle w:val="23"/>
        <w:ind w:firstLine="0" w:firstLineChars="0"/>
        <w:jc w:val="center"/>
        <w:rPr>
          <w:rFonts w:eastAsia="黑体"/>
          <w:b/>
          <w:bCs/>
          <w:szCs w:val="22"/>
          <w:lang w:val="zh-CN"/>
        </w:rPr>
      </w:pPr>
      <w:r>
        <w:rPr>
          <w:rFonts w:hint="eastAsia" w:eastAsia="黑体"/>
          <w:b/>
          <w:bCs/>
          <w:szCs w:val="22"/>
          <w:lang w:val="zh-CN"/>
        </w:rPr>
        <w:t>表四  各专业就业率、签约率统计</w:t>
      </w:r>
    </w:p>
    <w:tbl>
      <w:tblPr>
        <w:tblStyle w:val="16"/>
        <w:tblW w:w="84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single" w:color="FFFFFF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2"/>
        <w:gridCol w:w="2651"/>
        <w:gridCol w:w="1680"/>
        <w:gridCol w:w="1785"/>
        <w:gridCol w:w="146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single" w:color="FFFFF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42" w:type="dxa"/>
            <w:shd w:val="clear" w:color="auto" w:fill="B6DDE8" w:themeFill="accent5" w:themeFillTint="66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kern w:val="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kern w:val="0"/>
              </w:rPr>
              <w:t>序号</w:t>
            </w:r>
          </w:p>
        </w:tc>
        <w:tc>
          <w:tcPr>
            <w:tcW w:w="2651" w:type="dxa"/>
            <w:shd w:val="clear" w:color="auto" w:fill="B6DDE8" w:themeFill="accent5" w:themeFillTint="66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Times New Roman"/>
                <w:b/>
                <w:bCs/>
                <w:kern w:val="0"/>
              </w:rPr>
            </w:pPr>
            <w:r>
              <w:rPr>
                <w:rFonts w:eastAsia="Times New Roman"/>
                <w:b/>
                <w:bCs/>
                <w:kern w:val="0"/>
              </w:rPr>
              <w:t>专业名称</w:t>
            </w:r>
          </w:p>
        </w:tc>
        <w:tc>
          <w:tcPr>
            <w:tcW w:w="1680" w:type="dxa"/>
            <w:shd w:val="clear" w:color="auto" w:fill="B6DDE8" w:themeFill="accent5" w:themeFillTint="66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kern w:val="0"/>
                <w:szCs w:val="21"/>
              </w:rPr>
              <w:t>毕业生人数</w:t>
            </w:r>
          </w:p>
        </w:tc>
        <w:tc>
          <w:tcPr>
            <w:tcW w:w="1785" w:type="dxa"/>
            <w:shd w:val="clear" w:color="auto" w:fill="B6DDE8" w:themeFill="accent5" w:themeFillTint="66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kern w:val="0"/>
                <w:szCs w:val="21"/>
              </w:rPr>
              <w:t>就业率</w:t>
            </w:r>
          </w:p>
        </w:tc>
        <w:tc>
          <w:tcPr>
            <w:tcW w:w="1462" w:type="dxa"/>
            <w:shd w:val="clear" w:color="auto" w:fill="B6DDE8" w:themeFill="accent5" w:themeFillTint="66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kern w:val="0"/>
                <w:szCs w:val="21"/>
              </w:rPr>
              <w:t>签约率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single" w:color="FFFFF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42" w:type="dxa"/>
            <w:shd w:val="clear" w:color="auto" w:fill="ECEEEE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Times New Roman" w:cs="Times New Roman"/>
                <w:kern w:val="0"/>
              </w:rPr>
            </w:pPr>
            <w:r>
              <w:rPr>
                <w:rFonts w:ascii="Times New Roman" w:hAnsi="Times New Roman" w:eastAsia="Times New Roman" w:cs="Times New Roman"/>
                <w:kern w:val="0"/>
              </w:rPr>
              <w:t>1</w:t>
            </w:r>
          </w:p>
        </w:tc>
        <w:tc>
          <w:tcPr>
            <w:tcW w:w="2651" w:type="dxa"/>
            <w:shd w:val="clear" w:color="auto" w:fill="ECEEEE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Times New Roman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油气储运工程</w:t>
            </w:r>
          </w:p>
        </w:tc>
        <w:tc>
          <w:tcPr>
            <w:tcW w:w="1680" w:type="dxa"/>
            <w:shd w:val="clear" w:color="auto" w:fill="ECEEEE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39</w:t>
            </w:r>
          </w:p>
        </w:tc>
        <w:tc>
          <w:tcPr>
            <w:tcW w:w="1785" w:type="dxa"/>
            <w:shd w:val="clear" w:color="auto" w:fill="ECEEEE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Times New Roman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1462" w:type="dxa"/>
            <w:shd w:val="clear" w:color="auto" w:fill="ECEEEE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10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2"/>
                <w:szCs w:val="22"/>
              </w:rPr>
              <w:t>0.00</w:t>
            </w: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single" w:color="FFFFF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42" w:type="dxa"/>
            <w:shd w:val="clear" w:color="auto" w:fill="B6DDE8" w:themeFill="accent5" w:themeFillTint="66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Times New Roman" w:cs="Times New Roman"/>
                <w:kern w:val="0"/>
              </w:rPr>
            </w:pPr>
            <w:r>
              <w:rPr>
                <w:rFonts w:ascii="Times New Roman" w:hAnsi="Times New Roman" w:eastAsia="Times New Roman" w:cs="Times New Roman"/>
                <w:kern w:val="0"/>
              </w:rPr>
              <w:t>2</w:t>
            </w:r>
          </w:p>
        </w:tc>
        <w:tc>
          <w:tcPr>
            <w:tcW w:w="2651" w:type="dxa"/>
            <w:shd w:val="clear" w:color="auto" w:fill="B6DDE8" w:themeFill="accent5" w:themeFillTint="66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Times New Roman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国际经济与贸易</w:t>
            </w:r>
          </w:p>
        </w:tc>
        <w:tc>
          <w:tcPr>
            <w:tcW w:w="1680" w:type="dxa"/>
            <w:shd w:val="clear" w:color="auto" w:fill="B6DDE8" w:themeFill="accent5" w:themeFillTint="66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131</w:t>
            </w:r>
          </w:p>
        </w:tc>
        <w:tc>
          <w:tcPr>
            <w:tcW w:w="1785" w:type="dxa"/>
            <w:shd w:val="clear" w:color="auto" w:fill="B6DDE8" w:themeFill="accent5" w:themeFillTint="66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131</w:t>
            </w:r>
          </w:p>
        </w:tc>
        <w:tc>
          <w:tcPr>
            <w:tcW w:w="1462" w:type="dxa"/>
            <w:shd w:val="clear" w:color="auto" w:fill="B6DDE8" w:themeFill="accent5" w:themeFillTint="66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100.00%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single" w:color="FFFFF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42" w:type="dxa"/>
            <w:shd w:val="clear" w:color="auto" w:fill="ECEEEE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Times New Roman" w:cs="Times New Roman"/>
                <w:kern w:val="0"/>
              </w:rPr>
            </w:pPr>
            <w:r>
              <w:rPr>
                <w:rFonts w:ascii="Times New Roman" w:hAnsi="Times New Roman" w:eastAsia="Times New Roman" w:cs="Times New Roman"/>
                <w:kern w:val="0"/>
              </w:rPr>
              <w:t>3</w:t>
            </w:r>
          </w:p>
        </w:tc>
        <w:tc>
          <w:tcPr>
            <w:tcW w:w="2651" w:type="dxa"/>
            <w:shd w:val="clear" w:color="auto" w:fill="ECEEEE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Times New Roman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物流工程</w:t>
            </w:r>
          </w:p>
        </w:tc>
        <w:tc>
          <w:tcPr>
            <w:tcW w:w="1680" w:type="dxa"/>
            <w:shd w:val="clear" w:color="auto" w:fill="ECEEEE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55</w:t>
            </w:r>
          </w:p>
        </w:tc>
        <w:tc>
          <w:tcPr>
            <w:tcW w:w="1785" w:type="dxa"/>
            <w:shd w:val="clear" w:color="auto" w:fill="ECEEEE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55</w:t>
            </w:r>
          </w:p>
        </w:tc>
        <w:tc>
          <w:tcPr>
            <w:tcW w:w="1462" w:type="dxa"/>
            <w:shd w:val="clear" w:color="auto" w:fill="ECEEEE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100.00%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single" w:color="FFFFF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42" w:type="dxa"/>
            <w:shd w:val="clear" w:color="auto" w:fill="B6DDE8" w:themeFill="accent5" w:themeFillTint="66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Times New Roman" w:cs="Times New Roman"/>
                <w:kern w:val="0"/>
              </w:rPr>
            </w:pPr>
            <w:r>
              <w:rPr>
                <w:rFonts w:ascii="Times New Roman" w:hAnsi="Times New Roman" w:eastAsia="Times New Roman" w:cs="Times New Roman"/>
                <w:kern w:val="0"/>
              </w:rPr>
              <w:t>4</w:t>
            </w:r>
          </w:p>
        </w:tc>
        <w:tc>
          <w:tcPr>
            <w:tcW w:w="2651" w:type="dxa"/>
            <w:shd w:val="clear" w:color="auto" w:fill="B6DDE8" w:themeFill="accent5" w:themeFillTint="66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Times New Roman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市场营销</w:t>
            </w:r>
          </w:p>
        </w:tc>
        <w:tc>
          <w:tcPr>
            <w:tcW w:w="1680" w:type="dxa"/>
            <w:shd w:val="clear" w:color="auto" w:fill="B6DDE8" w:themeFill="accent5" w:themeFillTint="66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118</w:t>
            </w:r>
          </w:p>
        </w:tc>
        <w:tc>
          <w:tcPr>
            <w:tcW w:w="1785" w:type="dxa"/>
            <w:shd w:val="clear" w:color="auto" w:fill="B6DDE8" w:themeFill="accent5" w:themeFillTint="66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118</w:t>
            </w:r>
          </w:p>
        </w:tc>
        <w:tc>
          <w:tcPr>
            <w:tcW w:w="1462" w:type="dxa"/>
            <w:shd w:val="clear" w:color="auto" w:fill="B6DDE8" w:themeFill="accent5" w:themeFillTint="66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100.00%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single" w:color="FFFFF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42" w:type="dxa"/>
            <w:shd w:val="clear" w:color="auto" w:fill="ECEEEE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Times New Roman" w:cs="Times New Roman"/>
                <w:kern w:val="0"/>
              </w:rPr>
            </w:pPr>
            <w:r>
              <w:rPr>
                <w:rFonts w:ascii="Times New Roman" w:hAnsi="Times New Roman" w:eastAsia="Times New Roman" w:cs="Times New Roman"/>
                <w:kern w:val="0"/>
              </w:rPr>
              <w:t>5</w:t>
            </w:r>
          </w:p>
        </w:tc>
        <w:tc>
          <w:tcPr>
            <w:tcW w:w="2651" w:type="dxa"/>
            <w:shd w:val="clear" w:color="auto" w:fill="ECEEEE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Times New Roman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建筑环境与能源应用工程</w:t>
            </w:r>
          </w:p>
        </w:tc>
        <w:tc>
          <w:tcPr>
            <w:tcW w:w="1680" w:type="dxa"/>
            <w:shd w:val="clear" w:color="auto" w:fill="ECEEEE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64</w:t>
            </w:r>
          </w:p>
        </w:tc>
        <w:tc>
          <w:tcPr>
            <w:tcW w:w="1785" w:type="dxa"/>
            <w:shd w:val="clear" w:color="auto" w:fill="ECEEEE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64</w:t>
            </w:r>
          </w:p>
        </w:tc>
        <w:tc>
          <w:tcPr>
            <w:tcW w:w="1462" w:type="dxa"/>
            <w:shd w:val="clear" w:color="auto" w:fill="ECEEEE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100.00%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single" w:color="FFFFF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42" w:type="dxa"/>
            <w:shd w:val="clear" w:color="auto" w:fill="B6DDE8" w:themeFill="accent5" w:themeFillTint="66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Times New Roman" w:cs="Times New Roman"/>
                <w:kern w:val="0"/>
              </w:rPr>
            </w:pPr>
            <w:r>
              <w:rPr>
                <w:rFonts w:ascii="Times New Roman" w:hAnsi="Times New Roman" w:eastAsia="Times New Roman" w:cs="Times New Roman"/>
                <w:kern w:val="0"/>
              </w:rPr>
              <w:t>6</w:t>
            </w:r>
          </w:p>
        </w:tc>
        <w:tc>
          <w:tcPr>
            <w:tcW w:w="2651" w:type="dxa"/>
            <w:shd w:val="clear" w:color="auto" w:fill="B6DDE8" w:themeFill="accent5" w:themeFillTint="66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Times New Roman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建筑学</w:t>
            </w:r>
          </w:p>
        </w:tc>
        <w:tc>
          <w:tcPr>
            <w:tcW w:w="1680" w:type="dxa"/>
            <w:shd w:val="clear" w:color="auto" w:fill="B6DDE8" w:themeFill="accent5" w:themeFillTint="66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66</w:t>
            </w:r>
          </w:p>
        </w:tc>
        <w:tc>
          <w:tcPr>
            <w:tcW w:w="1785" w:type="dxa"/>
            <w:shd w:val="clear" w:color="auto" w:fill="B6DDE8" w:themeFill="accent5" w:themeFillTint="66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66</w:t>
            </w:r>
          </w:p>
        </w:tc>
        <w:tc>
          <w:tcPr>
            <w:tcW w:w="1462" w:type="dxa"/>
            <w:shd w:val="clear" w:color="auto" w:fill="B6DDE8" w:themeFill="accent5" w:themeFillTint="66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100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2"/>
                <w:szCs w:val="22"/>
                <w:lang w:eastAsia="zh-CN"/>
              </w:rPr>
              <w:t>.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2"/>
                <w:szCs w:val="22"/>
                <w:lang w:val="en-US" w:eastAsia="zh-CN"/>
              </w:rPr>
              <w:t>00</w:t>
            </w: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single" w:color="FFFFF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42" w:type="dxa"/>
            <w:shd w:val="clear" w:color="auto" w:fill="ECEEEE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Times New Roman" w:cs="Times New Roman"/>
                <w:kern w:val="0"/>
              </w:rPr>
            </w:pPr>
            <w:r>
              <w:rPr>
                <w:rFonts w:ascii="Times New Roman" w:hAnsi="Times New Roman" w:eastAsia="Times New Roman" w:cs="Times New Roman"/>
                <w:kern w:val="0"/>
              </w:rPr>
              <w:t>7</w:t>
            </w:r>
          </w:p>
        </w:tc>
        <w:tc>
          <w:tcPr>
            <w:tcW w:w="2651" w:type="dxa"/>
            <w:shd w:val="clear" w:color="auto" w:fill="ECEEEE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Times New Roman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工程管理</w:t>
            </w:r>
          </w:p>
        </w:tc>
        <w:tc>
          <w:tcPr>
            <w:tcW w:w="1680" w:type="dxa"/>
            <w:shd w:val="clear" w:color="auto" w:fill="ECEEEE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75</w:t>
            </w:r>
          </w:p>
        </w:tc>
        <w:tc>
          <w:tcPr>
            <w:tcW w:w="1785" w:type="dxa"/>
            <w:shd w:val="clear" w:color="auto" w:fill="ECEEEE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75</w:t>
            </w:r>
          </w:p>
        </w:tc>
        <w:tc>
          <w:tcPr>
            <w:tcW w:w="1462" w:type="dxa"/>
            <w:shd w:val="clear" w:color="auto" w:fill="ECEEEE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100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2"/>
                <w:szCs w:val="22"/>
                <w:lang w:val="en-US" w:eastAsia="zh-CN"/>
              </w:rPr>
              <w:t>.00</w:t>
            </w: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single" w:color="FFFFF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42" w:type="dxa"/>
            <w:shd w:val="clear" w:color="auto" w:fill="B6DDE8" w:themeFill="accent5" w:themeFillTint="66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Times New Roman" w:cs="Times New Roman"/>
                <w:kern w:val="0"/>
              </w:rPr>
            </w:pPr>
            <w:r>
              <w:rPr>
                <w:rFonts w:ascii="Times New Roman" w:hAnsi="Times New Roman" w:eastAsia="Times New Roman" w:cs="Times New Roman"/>
                <w:kern w:val="0"/>
              </w:rPr>
              <w:t>8</w:t>
            </w:r>
          </w:p>
        </w:tc>
        <w:tc>
          <w:tcPr>
            <w:tcW w:w="2651" w:type="dxa"/>
            <w:shd w:val="clear" w:color="auto" w:fill="B6DDE8" w:themeFill="accent5" w:themeFillTint="66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Times New Roman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材料成型及控制工程</w:t>
            </w:r>
          </w:p>
        </w:tc>
        <w:tc>
          <w:tcPr>
            <w:tcW w:w="1680" w:type="dxa"/>
            <w:shd w:val="clear" w:color="auto" w:fill="B6DDE8" w:themeFill="accent5" w:themeFillTint="66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125</w:t>
            </w:r>
          </w:p>
        </w:tc>
        <w:tc>
          <w:tcPr>
            <w:tcW w:w="1785" w:type="dxa"/>
            <w:shd w:val="clear" w:color="auto" w:fill="B6DDE8" w:themeFill="accent5" w:themeFillTint="66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125</w:t>
            </w:r>
          </w:p>
        </w:tc>
        <w:tc>
          <w:tcPr>
            <w:tcW w:w="1462" w:type="dxa"/>
            <w:shd w:val="clear" w:color="auto" w:fill="B6DDE8" w:themeFill="accent5" w:themeFillTint="66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100.00%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single" w:color="FFFFF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42" w:type="dxa"/>
            <w:shd w:val="clear" w:color="auto" w:fill="ECEEEE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Times New Roman" w:cs="Times New Roman"/>
                <w:kern w:val="0"/>
              </w:rPr>
            </w:pPr>
            <w:r>
              <w:rPr>
                <w:rFonts w:ascii="Times New Roman" w:hAnsi="Times New Roman" w:eastAsia="Times New Roman" w:cs="Times New Roman"/>
                <w:kern w:val="0"/>
              </w:rPr>
              <w:t>9</w:t>
            </w:r>
          </w:p>
        </w:tc>
        <w:tc>
          <w:tcPr>
            <w:tcW w:w="2651" w:type="dxa"/>
            <w:shd w:val="clear" w:color="auto" w:fill="ECEEEE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Times New Roman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材料物理</w:t>
            </w:r>
          </w:p>
        </w:tc>
        <w:tc>
          <w:tcPr>
            <w:tcW w:w="1680" w:type="dxa"/>
            <w:shd w:val="clear" w:color="auto" w:fill="ECEEEE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30</w:t>
            </w:r>
          </w:p>
        </w:tc>
        <w:tc>
          <w:tcPr>
            <w:tcW w:w="1785" w:type="dxa"/>
            <w:shd w:val="clear" w:color="auto" w:fill="ECEEEE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1462" w:type="dxa"/>
            <w:shd w:val="clear" w:color="auto" w:fill="ECEEEE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100.00%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single" w:color="FFFFF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42" w:type="dxa"/>
            <w:shd w:val="clear" w:color="auto" w:fill="B6DDE8" w:themeFill="accent5" w:themeFillTint="66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Times New Roman" w:cs="Times New Roman"/>
                <w:kern w:val="0"/>
              </w:rPr>
            </w:pPr>
            <w:r>
              <w:rPr>
                <w:rFonts w:ascii="Times New Roman" w:hAnsi="Times New Roman" w:eastAsia="Times New Roman" w:cs="Times New Roman"/>
                <w:kern w:val="0"/>
              </w:rPr>
              <w:t>10</w:t>
            </w:r>
          </w:p>
        </w:tc>
        <w:tc>
          <w:tcPr>
            <w:tcW w:w="2651" w:type="dxa"/>
            <w:shd w:val="clear" w:color="auto" w:fill="B6DDE8" w:themeFill="accent5" w:themeFillTint="66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Times New Roman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安全工程</w:t>
            </w:r>
          </w:p>
        </w:tc>
        <w:tc>
          <w:tcPr>
            <w:tcW w:w="1680" w:type="dxa"/>
            <w:shd w:val="clear" w:color="auto" w:fill="B6DDE8" w:themeFill="accent5" w:themeFillTint="66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45</w:t>
            </w:r>
          </w:p>
        </w:tc>
        <w:tc>
          <w:tcPr>
            <w:tcW w:w="1785" w:type="dxa"/>
            <w:shd w:val="clear" w:color="auto" w:fill="B6DDE8" w:themeFill="accent5" w:themeFillTint="66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1462" w:type="dxa"/>
            <w:shd w:val="clear" w:color="auto" w:fill="B6DDE8" w:themeFill="accent5" w:themeFillTint="66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100.00%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single" w:color="FFFFF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42" w:type="dxa"/>
            <w:shd w:val="clear" w:color="auto" w:fill="ECEEEE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Times New Roman" w:cs="Times New Roman"/>
                <w:kern w:val="0"/>
              </w:rPr>
            </w:pPr>
            <w:r>
              <w:rPr>
                <w:rFonts w:ascii="Times New Roman" w:hAnsi="Times New Roman" w:eastAsia="Times New Roman" w:cs="Times New Roman"/>
                <w:kern w:val="0"/>
              </w:rPr>
              <w:t>11</w:t>
            </w:r>
          </w:p>
        </w:tc>
        <w:tc>
          <w:tcPr>
            <w:tcW w:w="2651" w:type="dxa"/>
            <w:shd w:val="clear" w:color="auto" w:fill="ECEEEE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Times New Roman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材料科学与工程</w:t>
            </w:r>
          </w:p>
        </w:tc>
        <w:tc>
          <w:tcPr>
            <w:tcW w:w="1680" w:type="dxa"/>
            <w:shd w:val="clear" w:color="auto" w:fill="ECEEEE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37</w:t>
            </w:r>
          </w:p>
        </w:tc>
        <w:tc>
          <w:tcPr>
            <w:tcW w:w="1785" w:type="dxa"/>
            <w:shd w:val="clear" w:color="auto" w:fill="ECEEEE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1462" w:type="dxa"/>
            <w:shd w:val="clear" w:color="auto" w:fill="ECEEEE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100.00%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single" w:color="FFFFF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42" w:type="dxa"/>
            <w:shd w:val="clear" w:color="auto" w:fill="B6DDE8" w:themeFill="accent5" w:themeFillTint="66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Times New Roman" w:cs="Times New Roman"/>
                <w:kern w:val="0"/>
              </w:rPr>
            </w:pPr>
            <w:r>
              <w:rPr>
                <w:rFonts w:ascii="Times New Roman" w:hAnsi="Times New Roman" w:eastAsia="Times New Roman" w:cs="Times New Roman"/>
                <w:kern w:val="0"/>
              </w:rPr>
              <w:t>12</w:t>
            </w:r>
          </w:p>
        </w:tc>
        <w:tc>
          <w:tcPr>
            <w:tcW w:w="2651" w:type="dxa"/>
            <w:shd w:val="clear" w:color="auto" w:fill="B6DDE8" w:themeFill="accent5" w:themeFillTint="66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Times New Roman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工业设计</w:t>
            </w:r>
          </w:p>
        </w:tc>
        <w:tc>
          <w:tcPr>
            <w:tcW w:w="1680" w:type="dxa"/>
            <w:shd w:val="clear" w:color="auto" w:fill="B6DDE8" w:themeFill="accent5" w:themeFillTint="66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69</w:t>
            </w:r>
          </w:p>
        </w:tc>
        <w:tc>
          <w:tcPr>
            <w:tcW w:w="1785" w:type="dxa"/>
            <w:shd w:val="clear" w:color="auto" w:fill="B6DDE8" w:themeFill="accent5" w:themeFillTint="66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69</w:t>
            </w:r>
          </w:p>
        </w:tc>
        <w:tc>
          <w:tcPr>
            <w:tcW w:w="1462" w:type="dxa"/>
            <w:shd w:val="clear" w:color="auto" w:fill="B6DDE8" w:themeFill="accent5" w:themeFillTint="66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100.00%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single" w:color="FFFFF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42" w:type="dxa"/>
            <w:shd w:val="clear" w:color="auto" w:fill="ECEEEE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Times New Roman" w:cs="Times New Roman"/>
                <w:kern w:val="0"/>
              </w:rPr>
            </w:pPr>
            <w:r>
              <w:rPr>
                <w:rFonts w:ascii="Times New Roman" w:hAnsi="Times New Roman" w:eastAsia="Times New Roman" w:cs="Times New Roman"/>
                <w:kern w:val="0"/>
              </w:rPr>
              <w:t>13</w:t>
            </w:r>
          </w:p>
        </w:tc>
        <w:tc>
          <w:tcPr>
            <w:tcW w:w="2651" w:type="dxa"/>
            <w:shd w:val="clear" w:color="auto" w:fill="ECEEEE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Times New Roman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广告学</w:t>
            </w:r>
          </w:p>
        </w:tc>
        <w:tc>
          <w:tcPr>
            <w:tcW w:w="1680" w:type="dxa"/>
            <w:shd w:val="clear" w:color="auto" w:fill="ECEEEE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86</w:t>
            </w:r>
          </w:p>
        </w:tc>
        <w:tc>
          <w:tcPr>
            <w:tcW w:w="1785" w:type="dxa"/>
            <w:shd w:val="clear" w:color="auto" w:fill="ECEEEE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86</w:t>
            </w:r>
          </w:p>
        </w:tc>
        <w:tc>
          <w:tcPr>
            <w:tcW w:w="1462" w:type="dxa"/>
            <w:shd w:val="clear" w:color="auto" w:fill="ECEEEE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100.00%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single" w:color="FFFFF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42" w:type="dxa"/>
            <w:shd w:val="clear" w:color="auto" w:fill="B6DDE8" w:themeFill="accent5" w:themeFillTint="66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Times New Roman" w:cs="Times New Roman"/>
                <w:kern w:val="0"/>
              </w:rPr>
            </w:pPr>
            <w:r>
              <w:rPr>
                <w:rFonts w:ascii="Times New Roman" w:hAnsi="Times New Roman" w:eastAsia="Times New Roman" w:cs="Times New Roman"/>
                <w:kern w:val="0"/>
              </w:rPr>
              <w:t>14</w:t>
            </w:r>
          </w:p>
        </w:tc>
        <w:tc>
          <w:tcPr>
            <w:tcW w:w="2651" w:type="dxa"/>
            <w:shd w:val="clear" w:color="auto" w:fill="B6DDE8" w:themeFill="accent5" w:themeFillTint="66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Times New Roman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土木工程</w:t>
            </w:r>
          </w:p>
        </w:tc>
        <w:tc>
          <w:tcPr>
            <w:tcW w:w="1680" w:type="dxa"/>
            <w:shd w:val="clear" w:color="auto" w:fill="B6DDE8" w:themeFill="accent5" w:themeFillTint="66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137</w:t>
            </w:r>
          </w:p>
        </w:tc>
        <w:tc>
          <w:tcPr>
            <w:tcW w:w="1785" w:type="dxa"/>
            <w:shd w:val="clear" w:color="auto" w:fill="B6DDE8" w:themeFill="accent5" w:themeFillTint="66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136</w:t>
            </w:r>
          </w:p>
        </w:tc>
        <w:tc>
          <w:tcPr>
            <w:tcW w:w="1462" w:type="dxa"/>
            <w:shd w:val="clear" w:color="auto" w:fill="B6DDE8" w:themeFill="accent5" w:themeFillTint="66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99.27%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single" w:color="FFFFF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42" w:type="dxa"/>
            <w:shd w:val="clear" w:color="auto" w:fill="ECEEEE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Times New Roman" w:cs="Times New Roman"/>
                <w:kern w:val="0"/>
              </w:rPr>
            </w:pPr>
            <w:r>
              <w:rPr>
                <w:rFonts w:ascii="Times New Roman" w:hAnsi="Times New Roman" w:eastAsia="Times New Roman" w:cs="Times New Roman"/>
                <w:kern w:val="0"/>
              </w:rPr>
              <w:t>15</w:t>
            </w:r>
          </w:p>
        </w:tc>
        <w:tc>
          <w:tcPr>
            <w:tcW w:w="2651" w:type="dxa"/>
            <w:shd w:val="clear" w:color="auto" w:fill="ECEEEE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Times New Roman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汽车服务工程</w:t>
            </w:r>
          </w:p>
        </w:tc>
        <w:tc>
          <w:tcPr>
            <w:tcW w:w="1680" w:type="dxa"/>
            <w:shd w:val="clear" w:color="auto" w:fill="ECEEEE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136</w:t>
            </w:r>
          </w:p>
        </w:tc>
        <w:tc>
          <w:tcPr>
            <w:tcW w:w="1785" w:type="dxa"/>
            <w:shd w:val="clear" w:color="auto" w:fill="ECEEEE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135</w:t>
            </w:r>
          </w:p>
        </w:tc>
        <w:tc>
          <w:tcPr>
            <w:tcW w:w="1462" w:type="dxa"/>
            <w:shd w:val="clear" w:color="auto" w:fill="ECEEEE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99%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single" w:color="FFFFF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42" w:type="dxa"/>
            <w:shd w:val="clear" w:color="auto" w:fill="B6DDE8" w:themeFill="accent5" w:themeFillTint="66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Times New Roman" w:cs="Times New Roman"/>
                <w:kern w:val="0"/>
              </w:rPr>
            </w:pPr>
            <w:r>
              <w:rPr>
                <w:rFonts w:ascii="Times New Roman" w:hAnsi="Times New Roman" w:eastAsia="Times New Roman" w:cs="Times New Roman"/>
                <w:kern w:val="0"/>
              </w:rPr>
              <w:t>16</w:t>
            </w:r>
          </w:p>
        </w:tc>
        <w:tc>
          <w:tcPr>
            <w:tcW w:w="2651" w:type="dxa"/>
            <w:shd w:val="clear" w:color="auto" w:fill="B6DDE8" w:themeFill="accent5" w:themeFillTint="66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Times New Roman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化学工程与工艺</w:t>
            </w:r>
          </w:p>
        </w:tc>
        <w:tc>
          <w:tcPr>
            <w:tcW w:w="1680" w:type="dxa"/>
            <w:shd w:val="clear" w:color="auto" w:fill="B6DDE8" w:themeFill="accent5" w:themeFillTint="66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122</w:t>
            </w:r>
          </w:p>
        </w:tc>
        <w:tc>
          <w:tcPr>
            <w:tcW w:w="1785" w:type="dxa"/>
            <w:shd w:val="clear" w:color="auto" w:fill="B6DDE8" w:themeFill="accent5" w:themeFillTint="66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121</w:t>
            </w:r>
          </w:p>
        </w:tc>
        <w:tc>
          <w:tcPr>
            <w:tcW w:w="1462" w:type="dxa"/>
            <w:shd w:val="clear" w:color="auto" w:fill="B6DDE8" w:themeFill="accent5" w:themeFillTint="66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99%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single" w:color="FFFFF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42" w:type="dxa"/>
            <w:shd w:val="clear" w:color="auto" w:fill="ECEEEE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Times New Roman" w:cs="Times New Roman"/>
                <w:kern w:val="0"/>
              </w:rPr>
            </w:pPr>
            <w:r>
              <w:rPr>
                <w:rFonts w:ascii="Times New Roman" w:hAnsi="Times New Roman" w:eastAsia="Times New Roman" w:cs="Times New Roman"/>
                <w:kern w:val="0"/>
              </w:rPr>
              <w:t>17</w:t>
            </w:r>
          </w:p>
        </w:tc>
        <w:tc>
          <w:tcPr>
            <w:tcW w:w="2651" w:type="dxa"/>
            <w:shd w:val="clear" w:color="auto" w:fill="ECEEEE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Times New Roman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会计学</w:t>
            </w:r>
          </w:p>
        </w:tc>
        <w:tc>
          <w:tcPr>
            <w:tcW w:w="1680" w:type="dxa"/>
            <w:shd w:val="clear" w:color="auto" w:fill="ECEEEE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155</w:t>
            </w:r>
          </w:p>
        </w:tc>
        <w:tc>
          <w:tcPr>
            <w:tcW w:w="1785" w:type="dxa"/>
            <w:shd w:val="clear" w:color="auto" w:fill="ECEEEE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153</w:t>
            </w:r>
          </w:p>
        </w:tc>
        <w:tc>
          <w:tcPr>
            <w:tcW w:w="1462" w:type="dxa"/>
            <w:shd w:val="clear" w:color="auto" w:fill="ECEEEE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98.71%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single" w:color="FFFFF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42" w:type="dxa"/>
            <w:shd w:val="clear" w:color="auto" w:fill="B6DDE8" w:themeFill="accent5" w:themeFillTint="66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Times New Roman" w:cs="Times New Roman"/>
                <w:kern w:val="0"/>
              </w:rPr>
            </w:pPr>
            <w:r>
              <w:rPr>
                <w:rFonts w:ascii="Times New Roman" w:hAnsi="Times New Roman" w:eastAsia="Times New Roman" w:cs="Times New Roman"/>
                <w:kern w:val="0"/>
              </w:rPr>
              <w:t>18</w:t>
            </w:r>
          </w:p>
        </w:tc>
        <w:tc>
          <w:tcPr>
            <w:tcW w:w="2651" w:type="dxa"/>
            <w:shd w:val="clear" w:color="auto" w:fill="B6DDE8" w:themeFill="accent5" w:themeFillTint="66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Times New Roman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商务英语</w:t>
            </w:r>
          </w:p>
        </w:tc>
        <w:tc>
          <w:tcPr>
            <w:tcW w:w="1680" w:type="dxa"/>
            <w:shd w:val="clear" w:color="auto" w:fill="B6DDE8" w:themeFill="accent5" w:themeFillTint="66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143</w:t>
            </w:r>
          </w:p>
        </w:tc>
        <w:tc>
          <w:tcPr>
            <w:tcW w:w="1785" w:type="dxa"/>
            <w:shd w:val="clear" w:color="auto" w:fill="B6DDE8" w:themeFill="accent5" w:themeFillTint="66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141</w:t>
            </w:r>
          </w:p>
        </w:tc>
        <w:tc>
          <w:tcPr>
            <w:tcW w:w="1462" w:type="dxa"/>
            <w:shd w:val="clear" w:color="auto" w:fill="B6DDE8" w:themeFill="accent5" w:themeFillTint="66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99%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single" w:color="FFFFF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42" w:type="dxa"/>
            <w:shd w:val="clear" w:color="auto" w:fill="ECEEEE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Times New Roman" w:cs="Times New Roman"/>
                <w:kern w:val="0"/>
              </w:rPr>
            </w:pPr>
            <w:r>
              <w:rPr>
                <w:rFonts w:ascii="Times New Roman" w:hAnsi="Times New Roman" w:eastAsia="Times New Roman" w:cs="Times New Roman"/>
                <w:kern w:val="0"/>
              </w:rPr>
              <w:t>19</w:t>
            </w:r>
          </w:p>
        </w:tc>
        <w:tc>
          <w:tcPr>
            <w:tcW w:w="2651" w:type="dxa"/>
            <w:shd w:val="clear" w:color="auto" w:fill="ECEEEE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Times New Roman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应用统计学</w:t>
            </w:r>
          </w:p>
        </w:tc>
        <w:tc>
          <w:tcPr>
            <w:tcW w:w="1680" w:type="dxa"/>
            <w:shd w:val="clear" w:color="auto" w:fill="ECEEEE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 xml:space="preserve">62 </w:t>
            </w:r>
          </w:p>
        </w:tc>
        <w:tc>
          <w:tcPr>
            <w:tcW w:w="1785" w:type="dxa"/>
            <w:shd w:val="clear" w:color="auto" w:fill="ECEEEE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61</w:t>
            </w:r>
          </w:p>
        </w:tc>
        <w:tc>
          <w:tcPr>
            <w:tcW w:w="1462" w:type="dxa"/>
            <w:shd w:val="clear" w:color="auto" w:fill="ECEEEE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98%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single" w:color="FFFFF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42" w:type="dxa"/>
            <w:shd w:val="clear" w:color="auto" w:fill="B6DDE8" w:themeFill="accent5" w:themeFillTint="66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Times New Roman" w:cs="Times New Roman"/>
                <w:kern w:val="0"/>
              </w:rPr>
            </w:pPr>
            <w:r>
              <w:rPr>
                <w:rFonts w:ascii="Times New Roman" w:hAnsi="Times New Roman" w:eastAsia="Times New Roman" w:cs="Times New Roman"/>
                <w:kern w:val="0"/>
              </w:rPr>
              <w:t>20</w:t>
            </w:r>
          </w:p>
        </w:tc>
        <w:tc>
          <w:tcPr>
            <w:tcW w:w="2651" w:type="dxa"/>
            <w:shd w:val="clear" w:color="auto" w:fill="B6DDE8" w:themeFill="accent5" w:themeFillTint="66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Times New Roman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国际商务</w:t>
            </w:r>
          </w:p>
        </w:tc>
        <w:tc>
          <w:tcPr>
            <w:tcW w:w="1680" w:type="dxa"/>
            <w:shd w:val="clear" w:color="auto" w:fill="B6DDE8" w:themeFill="accent5" w:themeFillTint="66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61</w:t>
            </w:r>
          </w:p>
        </w:tc>
        <w:tc>
          <w:tcPr>
            <w:tcW w:w="1785" w:type="dxa"/>
            <w:shd w:val="clear" w:color="auto" w:fill="B6DDE8" w:themeFill="accent5" w:themeFillTint="66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1462" w:type="dxa"/>
            <w:shd w:val="clear" w:color="auto" w:fill="B6DDE8" w:themeFill="accent5" w:themeFillTint="66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98.36%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single" w:color="FFFFF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42" w:type="dxa"/>
            <w:shd w:val="clear" w:color="auto" w:fill="ECEEEE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Times New Roman" w:cs="Times New Roman"/>
                <w:kern w:val="0"/>
              </w:rPr>
            </w:pPr>
            <w:r>
              <w:rPr>
                <w:rFonts w:ascii="Times New Roman" w:hAnsi="Times New Roman" w:eastAsia="Times New Roman" w:cs="Times New Roman"/>
                <w:kern w:val="0"/>
              </w:rPr>
              <w:t>21</w:t>
            </w:r>
          </w:p>
        </w:tc>
        <w:tc>
          <w:tcPr>
            <w:tcW w:w="2651" w:type="dxa"/>
            <w:shd w:val="clear" w:color="auto" w:fill="ECEEEE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Times New Roman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物流管理</w:t>
            </w:r>
          </w:p>
        </w:tc>
        <w:tc>
          <w:tcPr>
            <w:tcW w:w="1680" w:type="dxa"/>
            <w:shd w:val="clear" w:color="auto" w:fill="ECEEEE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119</w:t>
            </w:r>
          </w:p>
        </w:tc>
        <w:tc>
          <w:tcPr>
            <w:tcW w:w="1785" w:type="dxa"/>
            <w:shd w:val="clear" w:color="auto" w:fill="ECEEEE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117</w:t>
            </w:r>
          </w:p>
        </w:tc>
        <w:tc>
          <w:tcPr>
            <w:tcW w:w="1462" w:type="dxa"/>
            <w:shd w:val="clear" w:color="auto" w:fill="ECEEEE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98%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single" w:color="FFFFF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42" w:type="dxa"/>
            <w:shd w:val="clear" w:color="auto" w:fill="B6DDE8" w:themeFill="accent5" w:themeFillTint="66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Times New Roman" w:cs="Times New Roman"/>
                <w:kern w:val="0"/>
              </w:rPr>
            </w:pPr>
            <w:r>
              <w:rPr>
                <w:rFonts w:ascii="Times New Roman" w:hAnsi="Times New Roman" w:eastAsia="Times New Roman" w:cs="Times New Roman"/>
                <w:kern w:val="0"/>
              </w:rPr>
              <w:t>22</w:t>
            </w:r>
          </w:p>
        </w:tc>
        <w:tc>
          <w:tcPr>
            <w:tcW w:w="2651" w:type="dxa"/>
            <w:shd w:val="clear" w:color="auto" w:fill="B6DDE8" w:themeFill="accent5" w:themeFillTint="66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Times New Roman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交通工程</w:t>
            </w:r>
          </w:p>
        </w:tc>
        <w:tc>
          <w:tcPr>
            <w:tcW w:w="1680" w:type="dxa"/>
            <w:shd w:val="clear" w:color="auto" w:fill="B6DDE8" w:themeFill="accent5" w:themeFillTint="66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40</w:t>
            </w:r>
          </w:p>
        </w:tc>
        <w:tc>
          <w:tcPr>
            <w:tcW w:w="1785" w:type="dxa"/>
            <w:shd w:val="clear" w:color="auto" w:fill="B6DDE8" w:themeFill="accent5" w:themeFillTint="66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1462" w:type="dxa"/>
            <w:shd w:val="clear" w:color="auto" w:fill="B6DDE8" w:themeFill="accent5" w:themeFillTint="66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97.50%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single" w:color="FFFFF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42" w:type="dxa"/>
            <w:shd w:val="clear" w:color="auto" w:fill="ECEEEE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Times New Roman" w:cs="Times New Roman"/>
                <w:kern w:val="0"/>
              </w:rPr>
            </w:pPr>
            <w:r>
              <w:rPr>
                <w:rFonts w:ascii="Times New Roman" w:hAnsi="Times New Roman" w:eastAsia="Times New Roman" w:cs="Times New Roman"/>
                <w:kern w:val="0"/>
              </w:rPr>
              <w:t>23</w:t>
            </w:r>
          </w:p>
        </w:tc>
        <w:tc>
          <w:tcPr>
            <w:tcW w:w="2651" w:type="dxa"/>
            <w:shd w:val="clear" w:color="auto" w:fill="ECEEEE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Times New Roman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英语</w:t>
            </w:r>
          </w:p>
        </w:tc>
        <w:tc>
          <w:tcPr>
            <w:tcW w:w="1680" w:type="dxa"/>
            <w:shd w:val="clear" w:color="auto" w:fill="ECEEEE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158</w:t>
            </w:r>
          </w:p>
        </w:tc>
        <w:tc>
          <w:tcPr>
            <w:tcW w:w="1785" w:type="dxa"/>
            <w:shd w:val="clear" w:color="auto" w:fill="ECEEEE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154</w:t>
            </w:r>
          </w:p>
        </w:tc>
        <w:tc>
          <w:tcPr>
            <w:tcW w:w="1462" w:type="dxa"/>
            <w:shd w:val="clear" w:color="auto" w:fill="ECEEEE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97.47%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single" w:color="FFFFF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42" w:type="dxa"/>
            <w:shd w:val="clear" w:color="auto" w:fill="B6DDE8" w:themeFill="accent5" w:themeFillTint="66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Times New Roman" w:cs="Times New Roman"/>
                <w:kern w:val="0"/>
              </w:rPr>
            </w:pPr>
            <w:r>
              <w:rPr>
                <w:rFonts w:ascii="Times New Roman" w:hAnsi="Times New Roman" w:eastAsia="Times New Roman" w:cs="Times New Roman"/>
                <w:kern w:val="0"/>
              </w:rPr>
              <w:t>24</w:t>
            </w:r>
          </w:p>
        </w:tc>
        <w:tc>
          <w:tcPr>
            <w:tcW w:w="2651" w:type="dxa"/>
            <w:shd w:val="clear" w:color="auto" w:fill="B6DDE8" w:themeFill="accent5" w:themeFillTint="66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Times New Roman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机械设计制造及其自动化</w:t>
            </w:r>
          </w:p>
        </w:tc>
        <w:tc>
          <w:tcPr>
            <w:tcW w:w="1680" w:type="dxa"/>
            <w:shd w:val="clear" w:color="auto" w:fill="B6DDE8" w:themeFill="accent5" w:themeFillTint="66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154</w:t>
            </w:r>
          </w:p>
        </w:tc>
        <w:tc>
          <w:tcPr>
            <w:tcW w:w="1785" w:type="dxa"/>
            <w:shd w:val="clear" w:color="auto" w:fill="B6DDE8" w:themeFill="accent5" w:themeFillTint="66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150</w:t>
            </w:r>
          </w:p>
        </w:tc>
        <w:tc>
          <w:tcPr>
            <w:tcW w:w="1462" w:type="dxa"/>
            <w:shd w:val="clear" w:color="auto" w:fill="B6DDE8" w:themeFill="accent5" w:themeFillTint="66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97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2"/>
                <w:szCs w:val="22"/>
                <w:lang w:eastAsia="zh-CN"/>
              </w:rPr>
              <w:t>.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2"/>
                <w:szCs w:val="22"/>
                <w:lang w:val="en-US" w:eastAsia="zh-CN"/>
              </w:rPr>
              <w:t>40</w:t>
            </w: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single" w:color="FFFFF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42" w:type="dxa"/>
            <w:shd w:val="clear" w:color="auto" w:fill="ECEEEE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Times New Roman" w:cs="Times New Roman"/>
                <w:kern w:val="0"/>
              </w:rPr>
            </w:pPr>
            <w:r>
              <w:rPr>
                <w:rFonts w:ascii="Times New Roman" w:hAnsi="Times New Roman" w:eastAsia="Times New Roman" w:cs="Times New Roman"/>
                <w:kern w:val="0"/>
              </w:rPr>
              <w:t>25</w:t>
            </w:r>
          </w:p>
        </w:tc>
        <w:tc>
          <w:tcPr>
            <w:tcW w:w="2651" w:type="dxa"/>
            <w:shd w:val="clear" w:color="auto" w:fill="ECEEEE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Times New Roman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交通运输</w:t>
            </w:r>
          </w:p>
        </w:tc>
        <w:tc>
          <w:tcPr>
            <w:tcW w:w="1680" w:type="dxa"/>
            <w:shd w:val="clear" w:color="auto" w:fill="ECEEEE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34</w:t>
            </w:r>
          </w:p>
        </w:tc>
        <w:tc>
          <w:tcPr>
            <w:tcW w:w="1785" w:type="dxa"/>
            <w:shd w:val="clear" w:color="auto" w:fill="ECEEEE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1462" w:type="dxa"/>
            <w:shd w:val="clear" w:color="auto" w:fill="ECEEEE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97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2"/>
                <w:szCs w:val="22"/>
                <w:lang w:val="en-US" w:eastAsia="zh-CN"/>
              </w:rPr>
              <w:t>.05</w:t>
            </w: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single" w:color="FFFFF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42" w:type="dxa"/>
            <w:shd w:val="clear" w:color="auto" w:fill="B6DDE8" w:themeFill="accent5" w:themeFillTint="66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Times New Roman" w:cs="Times New Roman"/>
                <w:kern w:val="0"/>
              </w:rPr>
            </w:pPr>
            <w:r>
              <w:rPr>
                <w:rFonts w:ascii="Times New Roman" w:hAnsi="Times New Roman" w:eastAsia="Times New Roman" w:cs="Times New Roman"/>
                <w:kern w:val="0"/>
              </w:rPr>
              <w:t>26</w:t>
            </w:r>
          </w:p>
        </w:tc>
        <w:tc>
          <w:tcPr>
            <w:tcW w:w="2651" w:type="dxa"/>
            <w:shd w:val="clear" w:color="auto" w:fill="B6DDE8" w:themeFill="accent5" w:themeFillTint="66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Times New Roman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应用化学</w:t>
            </w:r>
          </w:p>
        </w:tc>
        <w:tc>
          <w:tcPr>
            <w:tcW w:w="1680" w:type="dxa"/>
            <w:shd w:val="clear" w:color="auto" w:fill="B6DDE8" w:themeFill="accent5" w:themeFillTint="66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56</w:t>
            </w:r>
          </w:p>
        </w:tc>
        <w:tc>
          <w:tcPr>
            <w:tcW w:w="1785" w:type="dxa"/>
            <w:shd w:val="clear" w:color="auto" w:fill="B6DDE8" w:themeFill="accent5" w:themeFillTint="66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54</w:t>
            </w:r>
          </w:p>
        </w:tc>
        <w:tc>
          <w:tcPr>
            <w:tcW w:w="1462" w:type="dxa"/>
            <w:shd w:val="clear" w:color="auto" w:fill="B6DDE8" w:themeFill="accent5" w:themeFillTint="66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96.43%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single" w:color="FFFFF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42" w:type="dxa"/>
            <w:shd w:val="clear" w:color="auto" w:fill="ECEEEE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Times New Roman" w:cs="Times New Roman"/>
                <w:kern w:val="0"/>
              </w:rPr>
            </w:pPr>
            <w:r>
              <w:rPr>
                <w:rFonts w:ascii="Times New Roman" w:hAnsi="Times New Roman" w:eastAsia="Times New Roman" w:cs="Times New Roman"/>
                <w:kern w:val="0"/>
              </w:rPr>
              <w:t>27</w:t>
            </w:r>
          </w:p>
        </w:tc>
        <w:tc>
          <w:tcPr>
            <w:tcW w:w="2651" w:type="dxa"/>
            <w:shd w:val="clear" w:color="auto" w:fill="ECEEEE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Times New Roman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计算机科学与技术</w:t>
            </w:r>
          </w:p>
        </w:tc>
        <w:tc>
          <w:tcPr>
            <w:tcW w:w="1680" w:type="dxa"/>
            <w:shd w:val="clear" w:color="auto" w:fill="ECEEEE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139</w:t>
            </w:r>
          </w:p>
        </w:tc>
        <w:tc>
          <w:tcPr>
            <w:tcW w:w="1785" w:type="dxa"/>
            <w:shd w:val="clear" w:color="auto" w:fill="ECEEEE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134</w:t>
            </w:r>
          </w:p>
        </w:tc>
        <w:tc>
          <w:tcPr>
            <w:tcW w:w="1462" w:type="dxa"/>
            <w:shd w:val="clear" w:color="auto" w:fill="ECEEEE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96.40%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single" w:color="FFFFF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42" w:type="dxa"/>
            <w:shd w:val="clear" w:color="auto" w:fill="B6DDE8" w:themeFill="accent5" w:themeFillTint="66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Times New Roman" w:cs="Times New Roman"/>
                <w:kern w:val="0"/>
              </w:rPr>
            </w:pPr>
            <w:r>
              <w:rPr>
                <w:rFonts w:ascii="Times New Roman" w:hAnsi="Times New Roman" w:eastAsia="Times New Roman" w:cs="Times New Roman"/>
                <w:kern w:val="0"/>
              </w:rPr>
              <w:t>28</w:t>
            </w:r>
          </w:p>
        </w:tc>
        <w:tc>
          <w:tcPr>
            <w:tcW w:w="2651" w:type="dxa"/>
            <w:shd w:val="clear" w:color="auto" w:fill="B6DDE8" w:themeFill="accent5" w:themeFillTint="66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Times New Roman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金融工程</w:t>
            </w:r>
          </w:p>
        </w:tc>
        <w:tc>
          <w:tcPr>
            <w:tcW w:w="1680" w:type="dxa"/>
            <w:shd w:val="clear" w:color="auto" w:fill="B6DDE8" w:themeFill="accent5" w:themeFillTint="66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 xml:space="preserve">80 </w:t>
            </w:r>
          </w:p>
        </w:tc>
        <w:tc>
          <w:tcPr>
            <w:tcW w:w="1785" w:type="dxa"/>
            <w:shd w:val="clear" w:color="auto" w:fill="B6DDE8" w:themeFill="accent5" w:themeFillTint="66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77</w:t>
            </w:r>
          </w:p>
        </w:tc>
        <w:tc>
          <w:tcPr>
            <w:tcW w:w="1462" w:type="dxa"/>
            <w:shd w:val="clear" w:color="auto" w:fill="B6DDE8" w:themeFill="accent5" w:themeFillTint="66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96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2"/>
                <w:szCs w:val="22"/>
                <w:lang w:val="en-US" w:eastAsia="zh-CN"/>
              </w:rPr>
              <w:t>.25</w:t>
            </w: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single" w:color="FFFFF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42" w:type="dxa"/>
            <w:shd w:val="clear" w:color="auto" w:fill="ECEEEE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Times New Roman" w:cs="Times New Roman"/>
                <w:kern w:val="0"/>
              </w:rPr>
            </w:pPr>
            <w:r>
              <w:rPr>
                <w:rFonts w:ascii="Times New Roman" w:hAnsi="Times New Roman" w:eastAsia="Times New Roman" w:cs="Times New Roman"/>
                <w:kern w:val="0"/>
              </w:rPr>
              <w:t>29</w:t>
            </w:r>
          </w:p>
        </w:tc>
        <w:tc>
          <w:tcPr>
            <w:tcW w:w="2651" w:type="dxa"/>
            <w:shd w:val="clear" w:color="auto" w:fill="ECEEEE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Times New Roman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电气工程及其自动化</w:t>
            </w:r>
          </w:p>
        </w:tc>
        <w:tc>
          <w:tcPr>
            <w:tcW w:w="1680" w:type="dxa"/>
            <w:shd w:val="clear" w:color="auto" w:fill="ECEEEE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78</w:t>
            </w:r>
          </w:p>
        </w:tc>
        <w:tc>
          <w:tcPr>
            <w:tcW w:w="1785" w:type="dxa"/>
            <w:shd w:val="clear" w:color="auto" w:fill="ECEEEE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75</w:t>
            </w:r>
          </w:p>
        </w:tc>
        <w:tc>
          <w:tcPr>
            <w:tcW w:w="1462" w:type="dxa"/>
            <w:shd w:val="clear" w:color="auto" w:fill="ECEEEE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96.15%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single" w:color="FFFFF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42" w:type="dxa"/>
            <w:shd w:val="clear" w:color="auto" w:fill="B6DDE8" w:themeFill="accent5" w:themeFillTint="66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Times New Roman" w:cs="Times New Roman"/>
                <w:kern w:val="0"/>
              </w:rPr>
            </w:pPr>
            <w:r>
              <w:rPr>
                <w:rFonts w:ascii="Times New Roman" w:hAnsi="Times New Roman" w:eastAsia="Times New Roman" w:cs="Times New Roman"/>
                <w:kern w:val="0"/>
              </w:rPr>
              <w:t>30</w:t>
            </w:r>
          </w:p>
        </w:tc>
        <w:tc>
          <w:tcPr>
            <w:tcW w:w="2651" w:type="dxa"/>
            <w:shd w:val="clear" w:color="auto" w:fill="B6DDE8" w:themeFill="accent5" w:themeFillTint="66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Times New Roman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日语</w:t>
            </w:r>
          </w:p>
        </w:tc>
        <w:tc>
          <w:tcPr>
            <w:tcW w:w="1680" w:type="dxa"/>
            <w:shd w:val="clear" w:color="auto" w:fill="B6DDE8" w:themeFill="accent5" w:themeFillTint="66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49</w:t>
            </w:r>
          </w:p>
        </w:tc>
        <w:tc>
          <w:tcPr>
            <w:tcW w:w="1785" w:type="dxa"/>
            <w:shd w:val="clear" w:color="auto" w:fill="B6DDE8" w:themeFill="accent5" w:themeFillTint="66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47</w:t>
            </w:r>
          </w:p>
        </w:tc>
        <w:tc>
          <w:tcPr>
            <w:tcW w:w="1462" w:type="dxa"/>
            <w:shd w:val="clear" w:color="auto" w:fill="B6DDE8" w:themeFill="accent5" w:themeFillTint="66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95.92%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single" w:color="FFFFF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42" w:type="dxa"/>
            <w:shd w:val="clear" w:color="auto" w:fill="ECEEEE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Times New Roman" w:cs="Times New Roman"/>
                <w:kern w:val="0"/>
              </w:rPr>
            </w:pPr>
            <w:r>
              <w:rPr>
                <w:rFonts w:ascii="Times New Roman" w:hAnsi="Times New Roman" w:eastAsia="Times New Roman" w:cs="Times New Roman"/>
                <w:kern w:val="0"/>
              </w:rPr>
              <w:t>31</w:t>
            </w:r>
          </w:p>
        </w:tc>
        <w:tc>
          <w:tcPr>
            <w:tcW w:w="2651" w:type="dxa"/>
            <w:shd w:val="clear" w:color="auto" w:fill="ECEEEE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Times New Roman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会计学(中美合作办学)</w:t>
            </w:r>
          </w:p>
        </w:tc>
        <w:tc>
          <w:tcPr>
            <w:tcW w:w="1680" w:type="dxa"/>
            <w:shd w:val="clear" w:color="auto" w:fill="ECEEEE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 xml:space="preserve">94 </w:t>
            </w:r>
          </w:p>
        </w:tc>
        <w:tc>
          <w:tcPr>
            <w:tcW w:w="1785" w:type="dxa"/>
            <w:shd w:val="clear" w:color="auto" w:fill="ECEEEE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90</w:t>
            </w:r>
          </w:p>
        </w:tc>
        <w:tc>
          <w:tcPr>
            <w:tcW w:w="1462" w:type="dxa"/>
            <w:shd w:val="clear" w:color="auto" w:fill="ECEEEE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95.74%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single" w:color="FFFFF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42" w:type="dxa"/>
            <w:shd w:val="clear" w:color="auto" w:fill="B6DDE8" w:themeFill="accent5" w:themeFillTint="66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Times New Roman" w:cs="Times New Roman"/>
                <w:kern w:val="0"/>
              </w:rPr>
            </w:pPr>
            <w:r>
              <w:rPr>
                <w:rFonts w:ascii="Times New Roman" w:hAnsi="Times New Roman" w:eastAsia="Times New Roman" w:cs="Times New Roman"/>
                <w:kern w:val="0"/>
              </w:rPr>
              <w:t>32</w:t>
            </w:r>
          </w:p>
        </w:tc>
        <w:tc>
          <w:tcPr>
            <w:tcW w:w="2651" w:type="dxa"/>
            <w:shd w:val="clear" w:color="auto" w:fill="B6DDE8" w:themeFill="accent5" w:themeFillTint="66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Times New Roman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网络工程</w:t>
            </w:r>
          </w:p>
        </w:tc>
        <w:tc>
          <w:tcPr>
            <w:tcW w:w="1680" w:type="dxa"/>
            <w:shd w:val="clear" w:color="auto" w:fill="B6DDE8" w:themeFill="accent5" w:themeFillTint="66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135</w:t>
            </w:r>
          </w:p>
        </w:tc>
        <w:tc>
          <w:tcPr>
            <w:tcW w:w="1785" w:type="dxa"/>
            <w:shd w:val="clear" w:color="auto" w:fill="B6DDE8" w:themeFill="accent5" w:themeFillTint="66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129</w:t>
            </w:r>
          </w:p>
        </w:tc>
        <w:tc>
          <w:tcPr>
            <w:tcW w:w="1462" w:type="dxa"/>
            <w:shd w:val="clear" w:color="auto" w:fill="B6DDE8" w:themeFill="accent5" w:themeFillTint="66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9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2"/>
                <w:szCs w:val="22"/>
                <w:lang w:val="en-US" w:eastAsia="zh-CN"/>
              </w:rPr>
              <w:t>5.56</w:t>
            </w: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single" w:color="FFFFF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42" w:type="dxa"/>
            <w:shd w:val="clear" w:color="auto" w:fill="ECEEEE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Times New Roman" w:cs="Times New Roman"/>
                <w:kern w:val="0"/>
              </w:rPr>
            </w:pPr>
            <w:r>
              <w:rPr>
                <w:rFonts w:ascii="Times New Roman" w:hAnsi="Times New Roman" w:eastAsia="Times New Roman" w:cs="Times New Roman"/>
                <w:kern w:val="0"/>
              </w:rPr>
              <w:t>33</w:t>
            </w:r>
          </w:p>
        </w:tc>
        <w:tc>
          <w:tcPr>
            <w:tcW w:w="2651" w:type="dxa"/>
            <w:shd w:val="clear" w:color="auto" w:fill="ECEEEE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Times New Roman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电子信息工程</w:t>
            </w:r>
          </w:p>
        </w:tc>
        <w:tc>
          <w:tcPr>
            <w:tcW w:w="1680" w:type="dxa"/>
            <w:shd w:val="clear" w:color="auto" w:fill="ECEEEE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132</w:t>
            </w:r>
          </w:p>
        </w:tc>
        <w:tc>
          <w:tcPr>
            <w:tcW w:w="1785" w:type="dxa"/>
            <w:shd w:val="clear" w:color="auto" w:fill="ECEEEE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126</w:t>
            </w:r>
          </w:p>
        </w:tc>
        <w:tc>
          <w:tcPr>
            <w:tcW w:w="1462" w:type="dxa"/>
            <w:shd w:val="clear" w:color="auto" w:fill="ECEEEE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95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2"/>
                <w:szCs w:val="22"/>
                <w:lang w:val="en-US" w:eastAsia="zh-CN"/>
              </w:rPr>
              <w:t>.45</w:t>
            </w: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single" w:color="FFFFF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42" w:type="dxa"/>
            <w:shd w:val="clear" w:color="auto" w:fill="B6DDE8" w:themeFill="accent5" w:themeFillTint="66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Times New Roman" w:cs="Times New Roman"/>
                <w:kern w:val="0"/>
              </w:rPr>
            </w:pPr>
            <w:r>
              <w:rPr>
                <w:rFonts w:ascii="Times New Roman" w:hAnsi="Times New Roman" w:eastAsia="Times New Roman" w:cs="Times New Roman"/>
                <w:kern w:val="0"/>
              </w:rPr>
              <w:t>34</w:t>
            </w:r>
          </w:p>
        </w:tc>
        <w:tc>
          <w:tcPr>
            <w:tcW w:w="2651" w:type="dxa"/>
            <w:shd w:val="clear" w:color="auto" w:fill="B6DDE8" w:themeFill="accent5" w:themeFillTint="66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Times New Roman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信息与计算科学</w:t>
            </w:r>
          </w:p>
        </w:tc>
        <w:tc>
          <w:tcPr>
            <w:tcW w:w="1680" w:type="dxa"/>
            <w:shd w:val="clear" w:color="auto" w:fill="B6DDE8" w:themeFill="accent5" w:themeFillTint="66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 xml:space="preserve">64 </w:t>
            </w:r>
          </w:p>
        </w:tc>
        <w:tc>
          <w:tcPr>
            <w:tcW w:w="1785" w:type="dxa"/>
            <w:shd w:val="clear" w:color="auto" w:fill="B6DDE8" w:themeFill="accent5" w:themeFillTint="66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61</w:t>
            </w:r>
          </w:p>
        </w:tc>
        <w:tc>
          <w:tcPr>
            <w:tcW w:w="1462" w:type="dxa"/>
            <w:shd w:val="clear" w:color="auto" w:fill="B6DDE8" w:themeFill="accent5" w:themeFillTint="66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95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2"/>
                <w:szCs w:val="22"/>
                <w:lang w:val="en-US" w:eastAsia="zh-CN"/>
              </w:rPr>
              <w:t>.31</w:t>
            </w: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%</w:t>
            </w:r>
          </w:p>
        </w:tc>
      </w:tr>
    </w:tbl>
    <w:p>
      <w:pPr>
        <w:pStyle w:val="5"/>
        <w:spacing w:before="0" w:after="0" w:line="360" w:lineRule="auto"/>
        <w:ind w:firstLine="472" w:firstLineChars="196"/>
        <w:rPr>
          <w:rFonts w:hint="eastAsia" w:ascii="Times New Roman" w:hAnsi="Times New Roman" w:cs="Times New Roman"/>
          <w:sz w:val="24"/>
          <w:szCs w:val="24"/>
        </w:rPr>
      </w:pPr>
      <w:bookmarkStart w:id="4" w:name="_Toc27808"/>
    </w:p>
    <w:p>
      <w:pPr>
        <w:pStyle w:val="5"/>
        <w:spacing w:before="0" w:after="0" w:line="360" w:lineRule="auto"/>
        <w:ind w:firstLine="472" w:firstLineChars="196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3．毕业生</w:t>
      </w:r>
      <w:r>
        <w:rPr>
          <w:rFonts w:hint="eastAsia" w:ascii="Times New Roman" w:hAnsi="Times New Roman" w:cs="Times New Roman"/>
          <w:sz w:val="24"/>
          <w:szCs w:val="24"/>
          <w:lang w:val="zh-CN"/>
        </w:rPr>
        <w:t>升学情况</w:t>
      </w:r>
      <w:bookmarkEnd w:id="4"/>
    </w:p>
    <w:p>
      <w:pPr>
        <w:autoSpaceDE w:val="0"/>
        <w:autoSpaceDN w:val="0"/>
        <w:spacing w:line="360" w:lineRule="auto"/>
        <w:ind w:firstLine="465"/>
        <w:jc w:val="left"/>
        <w:rPr>
          <w:rFonts w:hAnsi="宋体" w:cs="Times New Roman"/>
          <w:sz w:val="24"/>
          <w:szCs w:val="20"/>
          <w:lang w:val="zh-CN"/>
        </w:rPr>
      </w:pPr>
      <w:r>
        <w:rPr>
          <w:rFonts w:hint="eastAsia" w:ascii="宋体" w:hAnsi="宋体" w:eastAsia="宋体" w:cs="宋体"/>
          <w:sz w:val="24"/>
          <w:szCs w:val="20"/>
        </w:rPr>
        <w:t>2019</w:t>
      </w:r>
      <w:r>
        <w:rPr>
          <w:rFonts w:hint="eastAsia" w:ascii="宋体" w:hAnsi="宋体" w:eastAsia="宋体" w:cs="宋体"/>
          <w:sz w:val="24"/>
          <w:szCs w:val="20"/>
          <w:lang w:val="zh-CN"/>
        </w:rPr>
        <w:t>届毕业生中考取国内研究生</w:t>
      </w:r>
      <w:r>
        <w:rPr>
          <w:rFonts w:hint="eastAsia" w:ascii="宋体" w:hAnsi="宋体" w:eastAsia="宋体" w:cs="宋体"/>
          <w:sz w:val="24"/>
          <w:szCs w:val="20"/>
        </w:rPr>
        <w:t>356</w:t>
      </w:r>
      <w:r>
        <w:rPr>
          <w:rFonts w:hint="eastAsia" w:ascii="宋体" w:hAnsi="宋体" w:eastAsia="宋体" w:cs="宋体"/>
          <w:sz w:val="24"/>
          <w:szCs w:val="20"/>
          <w:lang w:val="zh-CN"/>
        </w:rPr>
        <w:t>人、出国升学</w:t>
      </w:r>
      <w:r>
        <w:rPr>
          <w:rFonts w:hint="eastAsia" w:ascii="宋体" w:hAnsi="宋体" w:eastAsia="宋体" w:cs="宋体"/>
          <w:sz w:val="24"/>
          <w:szCs w:val="20"/>
        </w:rPr>
        <w:t>84</w:t>
      </w:r>
      <w:r>
        <w:rPr>
          <w:rFonts w:hint="eastAsia" w:ascii="宋体" w:hAnsi="宋体" w:eastAsia="宋体" w:cs="宋体"/>
          <w:sz w:val="24"/>
          <w:szCs w:val="20"/>
          <w:lang w:val="zh-CN"/>
        </w:rPr>
        <w:t>人，合计</w:t>
      </w:r>
      <w:r>
        <w:rPr>
          <w:rFonts w:hint="eastAsia" w:ascii="宋体" w:hAnsi="宋体" w:eastAsia="宋体" w:cs="宋体"/>
          <w:sz w:val="24"/>
          <w:szCs w:val="20"/>
          <w:lang w:val="en-US" w:eastAsia="zh-CN"/>
        </w:rPr>
        <w:t>440</w:t>
      </w:r>
      <w:r>
        <w:rPr>
          <w:rFonts w:hint="eastAsia" w:ascii="宋体" w:hAnsi="宋体" w:eastAsia="宋体" w:cs="宋体"/>
          <w:sz w:val="24"/>
          <w:szCs w:val="20"/>
          <w:lang w:val="zh-CN"/>
        </w:rPr>
        <w:t>人，占毕业生人数的</w:t>
      </w:r>
      <w:r>
        <w:rPr>
          <w:rFonts w:hint="eastAsia" w:ascii="宋体" w:hAnsi="宋体" w:eastAsia="宋体" w:cs="宋体"/>
          <w:sz w:val="24"/>
          <w:szCs w:val="20"/>
          <w:lang w:val="en-US" w:eastAsia="zh-CN"/>
        </w:rPr>
        <w:t>12.56</w:t>
      </w:r>
      <w:r>
        <w:rPr>
          <w:rFonts w:hint="eastAsia" w:ascii="宋体" w:hAnsi="宋体" w:eastAsia="宋体" w:cs="宋体"/>
          <w:sz w:val="24"/>
          <w:szCs w:val="20"/>
          <w:lang w:val="zh-CN"/>
        </w:rPr>
        <w:t xml:space="preserve">%。各学院研究生录取情况见表五。   </w:t>
      </w:r>
      <w:r>
        <w:rPr>
          <w:rFonts w:hint="eastAsia" w:hAnsi="宋体" w:cs="Times New Roman"/>
          <w:sz w:val="24"/>
          <w:szCs w:val="20"/>
          <w:lang w:val="zh-CN"/>
        </w:rPr>
        <w:t xml:space="preserve">     </w:t>
      </w:r>
    </w:p>
    <w:p>
      <w:pPr>
        <w:autoSpaceDE w:val="0"/>
        <w:autoSpaceDN w:val="0"/>
        <w:spacing w:line="360" w:lineRule="auto"/>
        <w:ind w:firstLine="120" w:firstLineChars="50"/>
        <w:jc w:val="center"/>
        <w:rPr>
          <w:rFonts w:eastAsia="黑体"/>
          <w:b/>
          <w:bCs/>
          <w:sz w:val="24"/>
          <w:lang w:val="zh-CN"/>
        </w:rPr>
      </w:pPr>
      <w:r>
        <w:rPr>
          <w:rFonts w:hint="eastAsia" w:eastAsia="黑体"/>
          <w:b/>
          <w:bCs/>
          <w:sz w:val="24"/>
          <w:lang w:val="zh-CN"/>
        </w:rPr>
        <w:t>表五</w:t>
      </w:r>
      <w:r>
        <w:rPr>
          <w:rFonts w:eastAsia="黑体"/>
          <w:b/>
          <w:bCs/>
          <w:sz w:val="24"/>
          <w:lang w:val="zh-CN"/>
        </w:rPr>
        <w:t xml:space="preserve"> </w:t>
      </w:r>
      <w:r>
        <w:rPr>
          <w:rFonts w:hint="eastAsia" w:eastAsia="黑体"/>
          <w:b/>
          <w:bCs/>
          <w:sz w:val="24"/>
          <w:lang w:val="zh-CN"/>
        </w:rPr>
        <w:t>各学院研究生录取人数统计</w:t>
      </w:r>
    </w:p>
    <w:tbl>
      <w:tblPr>
        <w:tblStyle w:val="16"/>
        <w:tblW w:w="831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single" w:color="FFFFFF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11"/>
        <w:gridCol w:w="1091"/>
        <w:gridCol w:w="1091"/>
        <w:gridCol w:w="1175"/>
        <w:gridCol w:w="1175"/>
        <w:gridCol w:w="11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single" w:color="FFFFF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2611" w:type="dxa"/>
            <w:shd w:val="clear" w:color="auto" w:fill="B6DDE8" w:themeFill="accent5" w:themeFillTint="66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Times New Roman"/>
                <w:b/>
                <w:kern w:val="0"/>
              </w:rPr>
            </w:pPr>
            <w:r>
              <w:rPr>
                <w:rFonts w:hint="eastAsia" w:ascii="宋体" w:hAnsi="宋体" w:eastAsia="Times New Roman"/>
                <w:b/>
                <w:kern w:val="0"/>
              </w:rPr>
              <w:t>学 院</w:t>
            </w:r>
          </w:p>
        </w:tc>
        <w:tc>
          <w:tcPr>
            <w:tcW w:w="1091" w:type="dxa"/>
            <w:shd w:val="clear" w:color="auto" w:fill="B6DDE8" w:themeFill="accent5" w:themeFillTint="66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Times New Roman"/>
                <w:b/>
                <w:kern w:val="0"/>
              </w:rPr>
            </w:pPr>
            <w:r>
              <w:rPr>
                <w:rFonts w:hint="eastAsia" w:ascii="宋体" w:hAnsi="宋体" w:eastAsia="Times New Roman"/>
                <w:b/>
                <w:kern w:val="0"/>
              </w:rPr>
              <w:t>985高校</w:t>
            </w:r>
          </w:p>
        </w:tc>
        <w:tc>
          <w:tcPr>
            <w:tcW w:w="1091" w:type="dxa"/>
            <w:shd w:val="clear" w:color="auto" w:fill="B6DDE8" w:themeFill="accent5" w:themeFillTint="66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Times New Roman"/>
                <w:b/>
                <w:kern w:val="0"/>
              </w:rPr>
            </w:pPr>
            <w:r>
              <w:rPr>
                <w:rFonts w:hint="eastAsia" w:ascii="宋体" w:hAnsi="宋体" w:eastAsia="Times New Roman"/>
                <w:b/>
                <w:kern w:val="0"/>
              </w:rPr>
              <w:t>211高校</w:t>
            </w:r>
          </w:p>
        </w:tc>
        <w:tc>
          <w:tcPr>
            <w:tcW w:w="1175" w:type="dxa"/>
            <w:shd w:val="clear" w:color="auto" w:fill="B6DDE8" w:themeFill="accent5" w:themeFillTint="66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Times New Roman"/>
                <w:b/>
                <w:kern w:val="0"/>
              </w:rPr>
            </w:pPr>
            <w:r>
              <w:rPr>
                <w:rFonts w:hint="eastAsia" w:ascii="宋体" w:hAnsi="宋体" w:eastAsia="Times New Roman"/>
                <w:b/>
                <w:kern w:val="0"/>
              </w:rPr>
              <w:t>普通高校</w:t>
            </w:r>
          </w:p>
        </w:tc>
        <w:tc>
          <w:tcPr>
            <w:tcW w:w="1175" w:type="dxa"/>
            <w:shd w:val="clear" w:color="auto" w:fill="B6DDE8" w:themeFill="accent5" w:themeFillTint="66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Times New Roman"/>
                <w:b/>
                <w:kern w:val="0"/>
              </w:rPr>
            </w:pPr>
            <w:r>
              <w:rPr>
                <w:rFonts w:hint="eastAsia" w:ascii="宋体" w:hAnsi="宋体" w:eastAsia="Times New Roman"/>
                <w:b/>
                <w:kern w:val="0"/>
              </w:rPr>
              <w:t>境外高校</w:t>
            </w:r>
          </w:p>
        </w:tc>
        <w:tc>
          <w:tcPr>
            <w:tcW w:w="1169" w:type="dxa"/>
            <w:shd w:val="clear" w:color="auto" w:fill="B6DDE8" w:themeFill="accent5" w:themeFillTint="66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Times New Roman"/>
                <w:b/>
                <w:kern w:val="0"/>
              </w:rPr>
            </w:pPr>
            <w:r>
              <w:rPr>
                <w:rFonts w:hint="eastAsia" w:ascii="宋体" w:hAnsi="宋体" w:eastAsia="Times New Roman"/>
                <w:b/>
                <w:kern w:val="0"/>
              </w:rPr>
              <w:t>录取人数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single" w:color="FFFFF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611" w:type="dxa"/>
            <w:shd w:val="clear" w:color="auto" w:fill="ECEEEE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经济与管理学院</w:t>
            </w:r>
          </w:p>
        </w:tc>
        <w:tc>
          <w:tcPr>
            <w:tcW w:w="1091" w:type="dxa"/>
            <w:shd w:val="clear" w:color="auto" w:fill="ECEEEE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</w:t>
            </w:r>
          </w:p>
        </w:tc>
        <w:tc>
          <w:tcPr>
            <w:tcW w:w="1091" w:type="dxa"/>
            <w:shd w:val="clear" w:color="auto" w:fill="ECEEEE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8</w:t>
            </w:r>
          </w:p>
        </w:tc>
        <w:tc>
          <w:tcPr>
            <w:tcW w:w="1175" w:type="dxa"/>
            <w:shd w:val="clear" w:color="auto" w:fill="ECEEEE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28</w:t>
            </w:r>
          </w:p>
        </w:tc>
        <w:tc>
          <w:tcPr>
            <w:tcW w:w="1175" w:type="dxa"/>
            <w:shd w:val="clear" w:color="auto" w:fill="ECEEEE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12</w:t>
            </w:r>
          </w:p>
        </w:tc>
        <w:tc>
          <w:tcPr>
            <w:tcW w:w="1169" w:type="dxa"/>
            <w:shd w:val="clear" w:color="auto" w:fill="ECEEEE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single" w:color="FFFFF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611" w:type="dxa"/>
            <w:shd w:val="clear" w:color="auto" w:fill="B6DDE8" w:themeFill="accent5" w:themeFillTint="66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人文</w:t>
            </w:r>
            <w:r>
              <w:rPr>
                <w:rFonts w:hint="eastAsia" w:eastAsia="Times New Roman"/>
                <w:kern w:val="0"/>
              </w:rPr>
              <w:t>与艺术</w:t>
            </w:r>
            <w:r>
              <w:rPr>
                <w:rFonts w:eastAsia="Times New Roman"/>
                <w:kern w:val="0"/>
              </w:rPr>
              <w:t>学院</w:t>
            </w:r>
          </w:p>
        </w:tc>
        <w:tc>
          <w:tcPr>
            <w:tcW w:w="1091" w:type="dxa"/>
            <w:shd w:val="clear" w:color="auto" w:fill="B6DDE8" w:themeFill="accent5" w:themeFillTint="66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5</w:t>
            </w:r>
          </w:p>
        </w:tc>
        <w:tc>
          <w:tcPr>
            <w:tcW w:w="1091" w:type="dxa"/>
            <w:shd w:val="clear" w:color="auto" w:fill="B6DDE8" w:themeFill="accent5" w:themeFillTint="66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6</w:t>
            </w:r>
          </w:p>
        </w:tc>
        <w:tc>
          <w:tcPr>
            <w:tcW w:w="1175" w:type="dxa"/>
            <w:shd w:val="clear" w:color="auto" w:fill="B6DDE8" w:themeFill="accent5" w:themeFillTint="66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16</w:t>
            </w:r>
          </w:p>
        </w:tc>
        <w:tc>
          <w:tcPr>
            <w:tcW w:w="1175" w:type="dxa"/>
            <w:shd w:val="clear" w:color="auto" w:fill="B6DDE8" w:themeFill="accent5" w:themeFillTint="66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10</w:t>
            </w:r>
          </w:p>
        </w:tc>
        <w:tc>
          <w:tcPr>
            <w:tcW w:w="1169" w:type="dxa"/>
            <w:shd w:val="clear" w:color="auto" w:fill="B6DDE8" w:themeFill="accent5" w:themeFillTint="66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single" w:color="FFFFF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611" w:type="dxa"/>
            <w:shd w:val="clear" w:color="auto" w:fill="ECEEEE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Times New Roman"/>
                <w:kern w:val="0"/>
              </w:rPr>
            </w:pPr>
            <w:r>
              <w:rPr>
                <w:rFonts w:hint="eastAsia" w:hAnsi="Arial" w:eastAsia="Times New Roman"/>
                <w:kern w:val="0"/>
              </w:rPr>
              <w:t>机械工程学院</w:t>
            </w:r>
          </w:p>
        </w:tc>
        <w:tc>
          <w:tcPr>
            <w:tcW w:w="1091" w:type="dxa"/>
            <w:shd w:val="clear" w:color="auto" w:fill="ECEEEE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4</w:t>
            </w:r>
          </w:p>
        </w:tc>
        <w:tc>
          <w:tcPr>
            <w:tcW w:w="1091" w:type="dxa"/>
            <w:shd w:val="clear" w:color="auto" w:fill="ECEEEE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12</w:t>
            </w:r>
          </w:p>
        </w:tc>
        <w:tc>
          <w:tcPr>
            <w:tcW w:w="1175" w:type="dxa"/>
            <w:shd w:val="clear" w:color="auto" w:fill="ECEEEE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32</w:t>
            </w:r>
          </w:p>
        </w:tc>
        <w:tc>
          <w:tcPr>
            <w:tcW w:w="1175" w:type="dxa"/>
            <w:shd w:val="clear" w:color="auto" w:fill="ECEEEE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4</w:t>
            </w:r>
          </w:p>
        </w:tc>
        <w:tc>
          <w:tcPr>
            <w:tcW w:w="1169" w:type="dxa"/>
            <w:shd w:val="clear" w:color="auto" w:fill="ECEEEE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single" w:color="FFFFF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611" w:type="dxa"/>
            <w:shd w:val="clear" w:color="auto" w:fill="B6DDE8" w:themeFill="accent5" w:themeFillTint="66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Times New Roman"/>
                <w:kern w:val="0"/>
              </w:rPr>
            </w:pPr>
            <w:r>
              <w:rPr>
                <w:rFonts w:hint="eastAsia" w:hAnsi="Arial" w:eastAsia="Times New Roman"/>
                <w:kern w:val="0"/>
              </w:rPr>
              <w:t>建筑与交通工程学院</w:t>
            </w:r>
          </w:p>
        </w:tc>
        <w:tc>
          <w:tcPr>
            <w:tcW w:w="1091" w:type="dxa"/>
            <w:shd w:val="clear" w:color="auto" w:fill="B6DDE8" w:themeFill="accent5" w:themeFillTint="66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</w:t>
            </w:r>
          </w:p>
        </w:tc>
        <w:tc>
          <w:tcPr>
            <w:tcW w:w="1091" w:type="dxa"/>
            <w:shd w:val="clear" w:color="auto" w:fill="B6DDE8" w:themeFill="accent5" w:themeFillTint="66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eastAsia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Times New Roman" w:cs="Times New Roman"/>
                <w:szCs w:val="21"/>
              </w:rPr>
              <w:t>15</w:t>
            </w:r>
          </w:p>
        </w:tc>
        <w:tc>
          <w:tcPr>
            <w:tcW w:w="1175" w:type="dxa"/>
            <w:shd w:val="clear" w:color="auto" w:fill="B6DDE8" w:themeFill="accent5" w:themeFillTint="66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42</w:t>
            </w:r>
          </w:p>
        </w:tc>
        <w:tc>
          <w:tcPr>
            <w:tcW w:w="1175" w:type="dxa"/>
            <w:shd w:val="clear" w:color="auto" w:fill="B6DDE8" w:themeFill="accent5" w:themeFillTint="66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5</w:t>
            </w:r>
          </w:p>
        </w:tc>
        <w:tc>
          <w:tcPr>
            <w:tcW w:w="1169" w:type="dxa"/>
            <w:shd w:val="clear" w:color="auto" w:fill="B6DDE8" w:themeFill="accent5" w:themeFillTint="66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single" w:color="FFFFF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611" w:type="dxa"/>
            <w:shd w:val="clear" w:color="auto" w:fill="ECEEEE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Times New Roman"/>
                <w:kern w:val="0"/>
              </w:rPr>
            </w:pPr>
            <w:r>
              <w:rPr>
                <w:rFonts w:hint="eastAsia" w:hAnsi="Arial" w:eastAsia="Times New Roman"/>
                <w:kern w:val="0"/>
              </w:rPr>
              <w:t>电子与信息工程学院</w:t>
            </w:r>
          </w:p>
        </w:tc>
        <w:tc>
          <w:tcPr>
            <w:tcW w:w="1091" w:type="dxa"/>
            <w:shd w:val="clear" w:color="auto" w:fill="ECEEEE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eastAsia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Times New Roman" w:cs="Times New Roman"/>
                <w:szCs w:val="21"/>
              </w:rPr>
              <w:t>4</w:t>
            </w:r>
          </w:p>
        </w:tc>
        <w:tc>
          <w:tcPr>
            <w:tcW w:w="1091" w:type="dxa"/>
            <w:shd w:val="clear" w:color="auto" w:fill="ECEEEE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eastAsia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Times New Roman" w:cs="Times New Roman"/>
                <w:szCs w:val="21"/>
              </w:rPr>
              <w:t>3</w:t>
            </w:r>
          </w:p>
        </w:tc>
        <w:tc>
          <w:tcPr>
            <w:tcW w:w="1175" w:type="dxa"/>
            <w:shd w:val="clear" w:color="auto" w:fill="ECEEEE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31</w:t>
            </w:r>
          </w:p>
        </w:tc>
        <w:tc>
          <w:tcPr>
            <w:tcW w:w="1175" w:type="dxa"/>
            <w:shd w:val="clear" w:color="auto" w:fill="ECEEEE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9</w:t>
            </w:r>
          </w:p>
        </w:tc>
        <w:tc>
          <w:tcPr>
            <w:tcW w:w="1169" w:type="dxa"/>
            <w:shd w:val="clear" w:color="auto" w:fill="ECEEEE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single" w:color="FFFFF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611" w:type="dxa"/>
            <w:shd w:val="clear" w:color="auto" w:fill="B6DDE8" w:themeFill="accent5" w:themeFillTint="66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Times New Roman"/>
                <w:kern w:val="0"/>
              </w:rPr>
            </w:pPr>
            <w:r>
              <w:rPr>
                <w:rFonts w:hint="eastAsia" w:hAnsi="Arial" w:eastAsia="Times New Roman"/>
                <w:kern w:val="0"/>
              </w:rPr>
              <w:t>材料与化学工程学院</w:t>
            </w:r>
          </w:p>
        </w:tc>
        <w:tc>
          <w:tcPr>
            <w:tcW w:w="1091" w:type="dxa"/>
            <w:shd w:val="clear" w:color="auto" w:fill="B6DDE8" w:themeFill="accent5" w:themeFillTint="66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3</w:t>
            </w:r>
          </w:p>
        </w:tc>
        <w:tc>
          <w:tcPr>
            <w:tcW w:w="1091" w:type="dxa"/>
            <w:shd w:val="clear" w:color="auto" w:fill="B6DDE8" w:themeFill="accent5" w:themeFillTint="66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25</w:t>
            </w:r>
          </w:p>
        </w:tc>
        <w:tc>
          <w:tcPr>
            <w:tcW w:w="1175" w:type="dxa"/>
            <w:shd w:val="clear" w:color="auto" w:fill="B6DDE8" w:themeFill="accent5" w:themeFillTint="66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46</w:t>
            </w:r>
          </w:p>
        </w:tc>
        <w:tc>
          <w:tcPr>
            <w:tcW w:w="1175" w:type="dxa"/>
            <w:shd w:val="clear" w:color="auto" w:fill="B6DDE8" w:themeFill="accent5" w:themeFillTint="66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</w:t>
            </w:r>
          </w:p>
        </w:tc>
        <w:tc>
          <w:tcPr>
            <w:tcW w:w="1169" w:type="dxa"/>
            <w:shd w:val="clear" w:color="auto" w:fill="B6DDE8" w:themeFill="accent5" w:themeFillTint="66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single" w:color="FFFFF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611" w:type="dxa"/>
            <w:shd w:val="clear" w:color="auto" w:fill="ECEEEE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Times New Roman"/>
                <w:kern w:val="0"/>
              </w:rPr>
            </w:pPr>
            <w:r>
              <w:rPr>
                <w:rFonts w:hint="eastAsia" w:hAnsi="Arial" w:eastAsia="Times New Roman"/>
                <w:kern w:val="0"/>
              </w:rPr>
              <w:t>外国语学院</w:t>
            </w:r>
          </w:p>
        </w:tc>
        <w:tc>
          <w:tcPr>
            <w:tcW w:w="1091" w:type="dxa"/>
            <w:shd w:val="clear" w:color="auto" w:fill="ECEEEE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</w:t>
            </w:r>
          </w:p>
        </w:tc>
        <w:tc>
          <w:tcPr>
            <w:tcW w:w="1091" w:type="dxa"/>
            <w:shd w:val="clear" w:color="auto" w:fill="ECEEEE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</w:t>
            </w:r>
          </w:p>
        </w:tc>
        <w:tc>
          <w:tcPr>
            <w:tcW w:w="1175" w:type="dxa"/>
            <w:shd w:val="clear" w:color="auto" w:fill="ECEEEE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23</w:t>
            </w:r>
          </w:p>
        </w:tc>
        <w:tc>
          <w:tcPr>
            <w:tcW w:w="1175" w:type="dxa"/>
            <w:shd w:val="clear" w:color="auto" w:fill="ECEEEE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</w:t>
            </w:r>
          </w:p>
        </w:tc>
        <w:tc>
          <w:tcPr>
            <w:tcW w:w="1169" w:type="dxa"/>
            <w:shd w:val="clear" w:color="auto" w:fill="ECEEEE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single" w:color="FFFFF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611" w:type="dxa"/>
            <w:shd w:val="clear" w:color="auto" w:fill="B6DDE8" w:themeFill="accent5" w:themeFillTint="66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Times New Roman"/>
                <w:kern w:val="0"/>
              </w:rPr>
            </w:pPr>
            <w:r>
              <w:rPr>
                <w:rFonts w:hint="eastAsia" w:hAnsi="Arial" w:eastAsia="Times New Roman"/>
                <w:kern w:val="0"/>
              </w:rPr>
              <w:t>国际交流学院</w:t>
            </w:r>
          </w:p>
        </w:tc>
        <w:tc>
          <w:tcPr>
            <w:tcW w:w="1091" w:type="dxa"/>
            <w:shd w:val="clear" w:color="auto" w:fill="B6DDE8" w:themeFill="accent5" w:themeFillTint="66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eastAsia="Times New Roman"/>
                <w:kern w:val="0"/>
                <w:szCs w:val="21"/>
              </w:rPr>
            </w:pPr>
            <w:r>
              <w:rPr>
                <w:rFonts w:ascii="Times New Roman" w:hAnsi="Times New Roman" w:eastAsia="Times New Roman" w:cs="Times New Roman"/>
                <w:szCs w:val="21"/>
              </w:rPr>
              <w:t>0</w:t>
            </w:r>
          </w:p>
        </w:tc>
        <w:tc>
          <w:tcPr>
            <w:tcW w:w="1091" w:type="dxa"/>
            <w:shd w:val="clear" w:color="auto" w:fill="B6DDE8" w:themeFill="accent5" w:themeFillTint="66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eastAsia="Times New Roman"/>
                <w:kern w:val="0"/>
                <w:szCs w:val="21"/>
              </w:rPr>
            </w:pPr>
            <w:r>
              <w:rPr>
                <w:rFonts w:ascii="Times New Roman" w:hAnsi="Times New Roman" w:eastAsia="Times New Roman" w:cs="Times New Roman"/>
                <w:szCs w:val="21"/>
              </w:rPr>
              <w:t>0</w:t>
            </w:r>
          </w:p>
        </w:tc>
        <w:tc>
          <w:tcPr>
            <w:tcW w:w="1175" w:type="dxa"/>
            <w:shd w:val="clear" w:color="auto" w:fill="B6DDE8" w:themeFill="accent5" w:themeFillTint="66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</w:t>
            </w:r>
          </w:p>
        </w:tc>
        <w:tc>
          <w:tcPr>
            <w:tcW w:w="1175" w:type="dxa"/>
            <w:shd w:val="clear" w:color="auto" w:fill="B6DDE8" w:themeFill="accent5" w:themeFillTint="66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18</w:t>
            </w:r>
          </w:p>
        </w:tc>
        <w:tc>
          <w:tcPr>
            <w:tcW w:w="1169" w:type="dxa"/>
            <w:shd w:val="clear" w:color="auto" w:fill="B6DDE8" w:themeFill="accent5" w:themeFillTint="66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single" w:color="FFFFF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611" w:type="dxa"/>
            <w:shd w:val="clear" w:color="auto" w:fill="ECEEEE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Times New Roman"/>
                <w:kern w:val="0"/>
              </w:rPr>
            </w:pPr>
            <w:r>
              <w:rPr>
                <w:rFonts w:hint="eastAsia" w:hAnsi="Arial" w:eastAsia="Times New Roman"/>
                <w:kern w:val="0"/>
              </w:rPr>
              <w:t>理学院</w:t>
            </w:r>
          </w:p>
        </w:tc>
        <w:tc>
          <w:tcPr>
            <w:tcW w:w="1091" w:type="dxa"/>
            <w:shd w:val="clear" w:color="auto" w:fill="ECEEEE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</w:t>
            </w:r>
          </w:p>
        </w:tc>
        <w:tc>
          <w:tcPr>
            <w:tcW w:w="1091" w:type="dxa"/>
            <w:shd w:val="clear" w:color="auto" w:fill="ECEEEE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7</w:t>
            </w:r>
          </w:p>
        </w:tc>
        <w:tc>
          <w:tcPr>
            <w:tcW w:w="1175" w:type="dxa"/>
            <w:shd w:val="clear" w:color="auto" w:fill="ECEEEE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38</w:t>
            </w:r>
          </w:p>
        </w:tc>
        <w:tc>
          <w:tcPr>
            <w:tcW w:w="1175" w:type="dxa"/>
            <w:shd w:val="clear" w:color="auto" w:fill="ECEEEE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4</w:t>
            </w:r>
          </w:p>
        </w:tc>
        <w:tc>
          <w:tcPr>
            <w:tcW w:w="1169" w:type="dxa"/>
            <w:shd w:val="clear" w:color="auto" w:fill="ECEEEE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single" w:color="FFFFF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611" w:type="dxa"/>
            <w:shd w:val="clear" w:color="auto" w:fill="B6DDE8" w:themeFill="accent5" w:themeFillTint="66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Times New Roman"/>
                <w:kern w:val="0"/>
              </w:rPr>
            </w:pPr>
            <w:r>
              <w:rPr>
                <w:rFonts w:hint="eastAsia" w:hAnsi="Arial" w:eastAsia="Times New Roman"/>
                <w:kern w:val="0"/>
              </w:rPr>
              <w:t>合  计</w:t>
            </w:r>
          </w:p>
        </w:tc>
        <w:tc>
          <w:tcPr>
            <w:tcW w:w="1091" w:type="dxa"/>
            <w:shd w:val="clear" w:color="auto" w:fill="B6DDE8" w:themeFill="accent5" w:themeFillTint="66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eastAsia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Times New Roman" w:cs="Times New Roman"/>
                <w:szCs w:val="21"/>
              </w:rPr>
              <w:t>21</w:t>
            </w:r>
          </w:p>
        </w:tc>
        <w:tc>
          <w:tcPr>
            <w:tcW w:w="1091" w:type="dxa"/>
            <w:shd w:val="clear" w:color="auto" w:fill="B6DDE8" w:themeFill="accent5" w:themeFillTint="66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78</w:t>
            </w:r>
          </w:p>
        </w:tc>
        <w:tc>
          <w:tcPr>
            <w:tcW w:w="1175" w:type="dxa"/>
            <w:shd w:val="clear" w:color="auto" w:fill="B6DDE8" w:themeFill="accent5" w:themeFillTint="66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257</w:t>
            </w:r>
          </w:p>
        </w:tc>
        <w:tc>
          <w:tcPr>
            <w:tcW w:w="1175" w:type="dxa"/>
            <w:shd w:val="clear" w:color="auto" w:fill="B6DDE8" w:themeFill="accent5" w:themeFillTint="66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84</w:t>
            </w:r>
          </w:p>
        </w:tc>
        <w:tc>
          <w:tcPr>
            <w:tcW w:w="1169" w:type="dxa"/>
            <w:shd w:val="clear" w:color="auto" w:fill="B6DDE8" w:themeFill="accent5" w:themeFillTint="66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440</w:t>
            </w:r>
          </w:p>
        </w:tc>
      </w:tr>
    </w:tbl>
    <w:p>
      <w:pPr>
        <w:autoSpaceDE w:val="0"/>
        <w:autoSpaceDN w:val="0"/>
        <w:spacing w:line="360" w:lineRule="auto"/>
        <w:rPr>
          <w:rFonts w:hAnsi="宋体"/>
          <w:lang w:val="zh-CN"/>
        </w:rPr>
      </w:pPr>
      <w:r>
        <w:rPr>
          <w:rFonts w:hint="eastAsia" w:ascii="宋体" w:hAnsi="宋体"/>
        </w:rPr>
        <w:t>备注：既是985又是211高校只计入985高校</w:t>
      </w:r>
    </w:p>
    <w:p>
      <w:pPr>
        <w:pStyle w:val="5"/>
        <w:spacing w:before="0" w:after="0" w:line="360" w:lineRule="auto"/>
        <w:ind w:firstLine="472" w:firstLineChars="196"/>
        <w:rPr>
          <w:rFonts w:ascii="Times New Roman" w:hAnsi="Times New Roman" w:cs="Times New Roman"/>
          <w:sz w:val="24"/>
          <w:szCs w:val="24"/>
          <w:lang w:val="zh-CN"/>
        </w:rPr>
      </w:pPr>
      <w:bookmarkStart w:id="5" w:name="_Toc23215"/>
      <w:r>
        <w:rPr>
          <w:rFonts w:hint="eastAsia" w:ascii="Times New Roman" w:hAnsi="Times New Roman" w:cs="Times New Roman"/>
          <w:sz w:val="24"/>
          <w:szCs w:val="24"/>
        </w:rPr>
        <w:t>4．就业岗位流向</w:t>
      </w:r>
      <w:bookmarkEnd w:id="5"/>
    </w:p>
    <w:p>
      <w:pPr>
        <w:pStyle w:val="23"/>
        <w:rPr>
          <w:rFonts w:hAnsi="宋体" w:eastAsia="宋体" w:cs="Times New Roman"/>
          <w:lang w:val="zh-CN"/>
        </w:rPr>
      </w:pPr>
      <w:r>
        <w:rPr>
          <w:rFonts w:hint="eastAsia" w:hAnsi="宋体" w:eastAsia="宋体" w:cs="Times New Roman"/>
          <w:lang w:val="zh-CN"/>
        </w:rPr>
        <w:t>毕业生就业单位主要为中小型民营企业、中外合资企业和外资企业，在这些企业就业人数为</w:t>
      </w:r>
      <w:r>
        <w:rPr>
          <w:rFonts w:ascii="Times New Roman" w:hAnsi="Times New Roman" w:eastAsia="宋体" w:cs="Times New Roman"/>
        </w:rPr>
        <w:t>24</w:t>
      </w:r>
      <w:r>
        <w:rPr>
          <w:rFonts w:hint="eastAsia" w:ascii="Times New Roman" w:hAnsi="Times New Roman" w:eastAsia="宋体" w:cs="Times New Roman"/>
        </w:rPr>
        <w:t>95</w:t>
      </w:r>
      <w:r>
        <w:rPr>
          <w:rFonts w:hint="eastAsia" w:hAnsi="宋体" w:eastAsia="宋体" w:cs="Times New Roman"/>
          <w:lang w:val="zh-CN"/>
        </w:rPr>
        <w:t>人，占毕业生人数的</w:t>
      </w:r>
      <w:r>
        <w:rPr>
          <w:rFonts w:hint="eastAsia" w:ascii="Times New Roman" w:hAnsi="Times New Roman" w:eastAsia="宋体" w:cs="Times New Roman"/>
        </w:rPr>
        <w:t>71.25</w:t>
      </w:r>
      <w:r>
        <w:rPr>
          <w:rFonts w:ascii="Times New Roman" w:hAnsi="Times New Roman" w:eastAsia="宋体" w:cs="Times New Roman"/>
          <w:lang w:val="zh-CN"/>
        </w:rPr>
        <w:t>%</w:t>
      </w:r>
      <w:r>
        <w:rPr>
          <w:rFonts w:hint="eastAsia" w:hAnsi="宋体" w:eastAsia="宋体" w:cs="Times New Roman"/>
          <w:lang w:val="zh-CN"/>
        </w:rPr>
        <w:t>。进入国家机关、事业单位、国有企业、科研设计单位、中初教育单位的共计</w:t>
      </w:r>
      <w:r>
        <w:rPr>
          <w:rFonts w:hint="eastAsia" w:ascii="Times New Roman" w:hAnsi="Times New Roman" w:eastAsia="宋体" w:cs="Times New Roman"/>
        </w:rPr>
        <w:t>325</w:t>
      </w:r>
      <w:r>
        <w:rPr>
          <w:rFonts w:hint="eastAsia" w:hAnsi="宋体" w:eastAsia="宋体" w:cs="Times New Roman"/>
          <w:lang w:val="zh-CN"/>
        </w:rPr>
        <w:t>人，占毕业生人数的</w:t>
      </w:r>
      <w:r>
        <w:rPr>
          <w:rFonts w:hint="eastAsia" w:ascii="Times New Roman" w:hAnsi="Times New Roman" w:eastAsia="宋体" w:cs="Times New Roman"/>
        </w:rPr>
        <w:t>9.28</w:t>
      </w:r>
      <w:r>
        <w:rPr>
          <w:rFonts w:ascii="Times New Roman" w:hAnsi="Times New Roman" w:eastAsia="宋体" w:cs="Times New Roman"/>
          <w:lang w:val="zh-CN"/>
        </w:rPr>
        <w:t>%</w:t>
      </w:r>
      <w:r>
        <w:rPr>
          <w:rFonts w:hint="eastAsia" w:hAnsi="宋体" w:eastAsia="宋体" w:cs="Times New Roman"/>
          <w:lang w:val="zh-CN"/>
        </w:rPr>
        <w:t>。毕业生就业去向详见表六。</w:t>
      </w:r>
    </w:p>
    <w:p>
      <w:pPr>
        <w:autoSpaceDE w:val="0"/>
        <w:autoSpaceDN w:val="0"/>
        <w:spacing w:line="360" w:lineRule="auto"/>
        <w:jc w:val="center"/>
        <w:rPr>
          <w:rFonts w:eastAsia="黑体"/>
          <w:b/>
          <w:bCs/>
          <w:sz w:val="24"/>
          <w:lang w:val="zh-CN"/>
        </w:rPr>
      </w:pPr>
      <w:r>
        <w:rPr>
          <w:rFonts w:hint="eastAsia" w:eastAsia="黑体"/>
          <w:b/>
          <w:bCs/>
          <w:sz w:val="24"/>
          <w:lang w:val="zh-CN"/>
        </w:rPr>
        <w:t>表六</w:t>
      </w:r>
      <w:r>
        <w:rPr>
          <w:rFonts w:eastAsia="黑体"/>
          <w:b/>
          <w:bCs/>
          <w:sz w:val="24"/>
          <w:lang w:val="zh-CN"/>
        </w:rPr>
        <w:t xml:space="preserve"> </w:t>
      </w:r>
      <w:r>
        <w:rPr>
          <w:rFonts w:hint="eastAsia" w:eastAsia="黑体"/>
          <w:b/>
          <w:bCs/>
          <w:sz w:val="24"/>
          <w:lang w:val="zh-CN"/>
        </w:rPr>
        <w:t>毕业生就业去向</w:t>
      </w:r>
    </w:p>
    <w:tbl>
      <w:tblPr>
        <w:tblStyle w:val="16"/>
        <w:tblW w:w="842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single" w:color="FFFFFF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3"/>
        <w:gridCol w:w="585"/>
        <w:gridCol w:w="1050"/>
        <w:gridCol w:w="1050"/>
        <w:gridCol w:w="1050"/>
        <w:gridCol w:w="1065"/>
        <w:gridCol w:w="1035"/>
        <w:gridCol w:w="602"/>
        <w:gridCol w:w="527"/>
        <w:gridCol w:w="51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single" w:color="FFFFF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43" w:type="dxa"/>
            <w:shd w:val="clear" w:color="auto" w:fill="B6DDE8" w:themeFill="accent5" w:themeFillTint="66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Times New Roman"/>
                <w:b/>
                <w:kern w:val="0"/>
              </w:rPr>
            </w:pPr>
            <w:r>
              <w:rPr>
                <w:rFonts w:eastAsia="Times New Roman"/>
                <w:b/>
                <w:kern w:val="0"/>
              </w:rPr>
              <w:t>就业去向</w:t>
            </w:r>
          </w:p>
        </w:tc>
        <w:tc>
          <w:tcPr>
            <w:tcW w:w="585" w:type="dxa"/>
            <w:shd w:val="clear" w:color="auto" w:fill="B6DDE8" w:themeFill="accent5" w:themeFillTint="66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Times New Roman"/>
                <w:b/>
                <w:kern w:val="0"/>
              </w:rPr>
            </w:pPr>
            <w:r>
              <w:rPr>
                <w:rFonts w:eastAsia="Times New Roman"/>
                <w:b/>
                <w:kern w:val="0"/>
              </w:rPr>
              <w:t>升学</w:t>
            </w:r>
          </w:p>
        </w:tc>
        <w:tc>
          <w:tcPr>
            <w:tcW w:w="1050" w:type="dxa"/>
            <w:shd w:val="clear" w:color="auto" w:fill="B6DDE8" w:themeFill="accent5" w:themeFillTint="66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Times New Roman"/>
                <w:b/>
                <w:kern w:val="0"/>
              </w:rPr>
            </w:pPr>
            <w:r>
              <w:rPr>
                <w:rFonts w:eastAsia="Times New Roman"/>
                <w:b/>
                <w:kern w:val="0"/>
              </w:rPr>
              <w:t>出国</w:t>
            </w:r>
            <w:r>
              <w:rPr>
                <w:rFonts w:hAnsi="宋体" w:eastAsia="Times New Roman"/>
                <w:b/>
                <w:kern w:val="0"/>
              </w:rPr>
              <w:t>出境</w:t>
            </w:r>
          </w:p>
        </w:tc>
        <w:tc>
          <w:tcPr>
            <w:tcW w:w="1050" w:type="dxa"/>
            <w:shd w:val="clear" w:color="auto" w:fill="B6DDE8" w:themeFill="accent5" w:themeFillTint="66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Times New Roman"/>
                <w:b/>
                <w:kern w:val="0"/>
              </w:rPr>
            </w:pPr>
            <w:r>
              <w:rPr>
                <w:rFonts w:eastAsia="Times New Roman"/>
                <w:b/>
                <w:kern w:val="0"/>
              </w:rPr>
              <w:t>政府机关</w:t>
            </w:r>
          </w:p>
        </w:tc>
        <w:tc>
          <w:tcPr>
            <w:tcW w:w="1050" w:type="dxa"/>
            <w:shd w:val="clear" w:color="auto" w:fill="B6DDE8" w:themeFill="accent5" w:themeFillTint="66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Times New Roman"/>
                <w:b/>
                <w:kern w:val="0"/>
              </w:rPr>
            </w:pPr>
            <w:r>
              <w:rPr>
                <w:rFonts w:eastAsia="Times New Roman"/>
                <w:b/>
                <w:kern w:val="0"/>
              </w:rPr>
              <w:t>事业单位</w:t>
            </w:r>
          </w:p>
        </w:tc>
        <w:tc>
          <w:tcPr>
            <w:tcW w:w="1065" w:type="dxa"/>
            <w:shd w:val="clear" w:color="auto" w:fill="B6DDE8" w:themeFill="accent5" w:themeFillTint="66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Times New Roman"/>
                <w:b/>
                <w:kern w:val="0"/>
              </w:rPr>
            </w:pPr>
            <w:r>
              <w:rPr>
                <w:rFonts w:hAnsi="宋体" w:eastAsia="Times New Roman"/>
                <w:b/>
                <w:kern w:val="0"/>
              </w:rPr>
              <w:t>国有企业</w:t>
            </w:r>
          </w:p>
        </w:tc>
        <w:tc>
          <w:tcPr>
            <w:tcW w:w="1035" w:type="dxa"/>
            <w:shd w:val="clear" w:color="auto" w:fill="B6DDE8" w:themeFill="accent5" w:themeFillTint="66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Times New Roman"/>
                <w:b/>
                <w:kern w:val="0"/>
              </w:rPr>
            </w:pPr>
            <w:r>
              <w:rPr>
                <w:rFonts w:hAnsi="宋体" w:eastAsia="Times New Roman"/>
                <w:b/>
                <w:kern w:val="0"/>
              </w:rPr>
              <w:t>其他</w:t>
            </w:r>
            <w:r>
              <w:rPr>
                <w:rFonts w:eastAsia="Times New Roman"/>
                <w:b/>
                <w:kern w:val="0"/>
              </w:rPr>
              <w:t>企业</w:t>
            </w:r>
          </w:p>
        </w:tc>
        <w:tc>
          <w:tcPr>
            <w:tcW w:w="602" w:type="dxa"/>
            <w:shd w:val="clear" w:color="auto" w:fill="B6DDE8" w:themeFill="accent5" w:themeFillTint="66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Times New Roman"/>
                <w:b/>
                <w:kern w:val="0"/>
              </w:rPr>
            </w:pPr>
            <w:r>
              <w:rPr>
                <w:rFonts w:eastAsia="Times New Roman"/>
                <w:b/>
                <w:kern w:val="0"/>
              </w:rPr>
              <w:t>部队</w:t>
            </w:r>
          </w:p>
        </w:tc>
        <w:tc>
          <w:tcPr>
            <w:tcW w:w="527" w:type="dxa"/>
            <w:shd w:val="clear" w:color="auto" w:fill="B6DDE8" w:themeFill="accent5" w:themeFillTint="66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Times New Roman"/>
                <w:b/>
                <w:kern w:val="0"/>
              </w:rPr>
            </w:pPr>
            <w:r>
              <w:rPr>
                <w:rFonts w:hAnsi="宋体" w:eastAsia="Times New Roman"/>
                <w:b/>
                <w:kern w:val="0"/>
              </w:rPr>
              <w:t>待业</w:t>
            </w:r>
          </w:p>
        </w:tc>
        <w:tc>
          <w:tcPr>
            <w:tcW w:w="514" w:type="dxa"/>
            <w:shd w:val="clear" w:color="auto" w:fill="B6DDE8" w:themeFill="accent5" w:themeFillTint="66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Ansi="宋体" w:eastAsia="Times New Roman"/>
                <w:b/>
                <w:kern w:val="0"/>
              </w:rPr>
            </w:pPr>
            <w:r>
              <w:rPr>
                <w:rFonts w:hint="eastAsia" w:hAnsi="宋体" w:eastAsia="Times New Roman"/>
                <w:b/>
                <w:kern w:val="0"/>
              </w:rPr>
              <w:t>创业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single" w:color="FFFFF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43" w:type="dxa"/>
            <w:shd w:val="clear" w:color="auto" w:fill="ECEEEE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Times New Roman"/>
                <w:kern w:val="0"/>
              </w:rPr>
            </w:pPr>
            <w:bookmarkStart w:id="6" w:name="OLE_LINK6" w:colFirst="1" w:colLast="8"/>
            <w:r>
              <w:rPr>
                <w:rFonts w:eastAsia="Times New Roman"/>
                <w:kern w:val="0"/>
              </w:rPr>
              <w:t>人数</w:t>
            </w:r>
          </w:p>
        </w:tc>
        <w:tc>
          <w:tcPr>
            <w:tcW w:w="585" w:type="dxa"/>
            <w:shd w:val="clear" w:color="auto" w:fill="ECEEEE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kern w:val="0"/>
                <w:szCs w:val="21"/>
              </w:rPr>
            </w:pPr>
            <w:r>
              <w:rPr>
                <w:rFonts w:hint="eastAsia" w:ascii="Times New Roman" w:hAnsi="Times New Roman" w:eastAsia="Times New Roman" w:cs="Times New Roman"/>
                <w:szCs w:val="21"/>
              </w:rPr>
              <w:t>356</w:t>
            </w:r>
          </w:p>
        </w:tc>
        <w:tc>
          <w:tcPr>
            <w:tcW w:w="1050" w:type="dxa"/>
            <w:shd w:val="clear" w:color="auto" w:fill="ECEEEE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kern w:val="0"/>
                <w:szCs w:val="21"/>
              </w:rPr>
            </w:pPr>
            <w:r>
              <w:rPr>
                <w:rFonts w:hint="eastAsia" w:ascii="Times New Roman" w:hAnsi="Times New Roman" w:eastAsia="Times New Roman" w:cs="Times New Roman"/>
                <w:szCs w:val="21"/>
              </w:rPr>
              <w:t>84</w:t>
            </w:r>
          </w:p>
        </w:tc>
        <w:tc>
          <w:tcPr>
            <w:tcW w:w="1050" w:type="dxa"/>
            <w:shd w:val="clear" w:color="auto" w:fill="ECEEEE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kern w:val="0"/>
                <w:szCs w:val="21"/>
              </w:rPr>
            </w:pPr>
            <w:r>
              <w:rPr>
                <w:rFonts w:hint="eastAsia" w:ascii="Times New Roman" w:hAnsi="Times New Roman" w:eastAsia="Times New Roman" w:cs="Times New Roman"/>
                <w:kern w:val="0"/>
                <w:szCs w:val="21"/>
              </w:rPr>
              <w:t>31</w:t>
            </w:r>
          </w:p>
        </w:tc>
        <w:tc>
          <w:tcPr>
            <w:tcW w:w="1050" w:type="dxa"/>
            <w:shd w:val="clear" w:color="auto" w:fill="ECEEEE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kern w:val="0"/>
                <w:szCs w:val="21"/>
              </w:rPr>
            </w:pPr>
            <w:r>
              <w:rPr>
                <w:rFonts w:hint="eastAsia" w:ascii="Times New Roman" w:hAnsi="Times New Roman" w:eastAsia="Times New Roman" w:cs="Times New Roman"/>
                <w:kern w:val="0"/>
                <w:szCs w:val="21"/>
              </w:rPr>
              <w:t>35</w:t>
            </w:r>
          </w:p>
        </w:tc>
        <w:tc>
          <w:tcPr>
            <w:tcW w:w="1065" w:type="dxa"/>
            <w:shd w:val="clear" w:color="auto" w:fill="ECEEEE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kern w:val="0"/>
                <w:szCs w:val="21"/>
              </w:rPr>
            </w:pPr>
            <w:r>
              <w:rPr>
                <w:rFonts w:hint="eastAsia" w:ascii="Times New Roman" w:hAnsi="Times New Roman" w:eastAsia="Times New Roman" w:cs="Times New Roman"/>
                <w:kern w:val="0"/>
                <w:szCs w:val="21"/>
              </w:rPr>
              <w:t>259</w:t>
            </w:r>
          </w:p>
        </w:tc>
        <w:tc>
          <w:tcPr>
            <w:tcW w:w="1035" w:type="dxa"/>
            <w:shd w:val="clear" w:color="auto" w:fill="ECEEEE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kern w:val="0"/>
                <w:szCs w:val="21"/>
              </w:rPr>
            </w:pPr>
            <w:r>
              <w:rPr>
                <w:rFonts w:hint="eastAsia" w:ascii="Times New Roman" w:hAnsi="Times New Roman" w:eastAsia="Times New Roman" w:cs="Times New Roman"/>
                <w:kern w:val="0"/>
                <w:szCs w:val="21"/>
              </w:rPr>
              <w:t>2495</w:t>
            </w:r>
          </w:p>
        </w:tc>
        <w:tc>
          <w:tcPr>
            <w:tcW w:w="602" w:type="dxa"/>
            <w:shd w:val="clear" w:color="auto" w:fill="ECEEEE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Times New Roman" w:cs="Times New Roman"/>
                <w:color w:val="FF0000"/>
                <w:kern w:val="0"/>
                <w:szCs w:val="21"/>
              </w:rPr>
            </w:pPr>
            <w:r>
              <w:rPr>
                <w:rFonts w:ascii="Times New Roman" w:hAnsi="Times New Roman" w:eastAsia="Times New Roman" w:cs="Times New Roman"/>
                <w:kern w:val="0"/>
                <w:szCs w:val="21"/>
              </w:rPr>
              <w:t>8</w:t>
            </w:r>
          </w:p>
        </w:tc>
        <w:tc>
          <w:tcPr>
            <w:tcW w:w="527" w:type="dxa"/>
            <w:shd w:val="clear" w:color="auto" w:fill="ECEEEE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kern w:val="0"/>
                <w:szCs w:val="21"/>
              </w:rPr>
            </w:pPr>
            <w:r>
              <w:rPr>
                <w:rFonts w:hint="eastAsia" w:ascii="Times New Roman" w:hAnsi="Times New Roman" w:eastAsia="Times New Roman" w:cs="Times New Roman"/>
                <w:kern w:val="0"/>
                <w:szCs w:val="21"/>
              </w:rPr>
              <w:t>83</w:t>
            </w:r>
          </w:p>
        </w:tc>
        <w:tc>
          <w:tcPr>
            <w:tcW w:w="514" w:type="dxa"/>
            <w:shd w:val="clear" w:color="auto" w:fill="ECEEEE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kern w:val="0"/>
                <w:szCs w:val="21"/>
              </w:rPr>
            </w:pPr>
            <w:r>
              <w:rPr>
                <w:rFonts w:hint="eastAsia" w:ascii="Times New Roman" w:hAnsi="Times New Roman" w:eastAsia="Times New Roman" w:cs="Times New Roman"/>
                <w:kern w:val="0"/>
                <w:szCs w:val="21"/>
              </w:rPr>
              <w:t>12</w:t>
            </w:r>
          </w:p>
        </w:tc>
      </w:tr>
      <w:bookmarkEnd w:id="6"/>
    </w:tbl>
    <w:p>
      <w:pPr>
        <w:pStyle w:val="5"/>
        <w:spacing w:before="0" w:after="0" w:line="360" w:lineRule="auto"/>
        <w:ind w:firstLine="472" w:firstLineChars="196"/>
        <w:rPr>
          <w:rFonts w:hint="eastAsia" w:ascii="Times New Roman" w:hAnsi="Times New Roman" w:cs="Times New Roman"/>
          <w:sz w:val="24"/>
          <w:szCs w:val="24"/>
        </w:rPr>
      </w:pPr>
      <w:bookmarkStart w:id="7" w:name="_Toc27895"/>
    </w:p>
    <w:p>
      <w:pPr>
        <w:pStyle w:val="5"/>
        <w:spacing w:before="0" w:after="0" w:line="360" w:lineRule="auto"/>
        <w:ind w:firstLine="472" w:firstLineChars="196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5．就业地域流向</w:t>
      </w:r>
      <w:bookmarkEnd w:id="7"/>
    </w:p>
    <w:p>
      <w:pPr>
        <w:pStyle w:val="23"/>
        <w:rPr>
          <w:rFonts w:hint="eastAsia" w:ascii="宋体" w:hAnsi="宋体" w:eastAsia="宋体" w:cs="宋体"/>
          <w:lang w:val="zh-CN"/>
        </w:rPr>
      </w:pPr>
      <w:r>
        <w:rPr>
          <w:rFonts w:hint="eastAsia" w:ascii="宋体" w:hAnsi="宋体" w:eastAsia="宋体" w:cs="宋体"/>
          <w:lang w:val="zh-CN"/>
        </w:rPr>
        <w:t>表七、八分别为浙江省各地区及外省的就业去向分布。表七显示不同生源地的学生就业率相近，表明不同生源地学生就业能力相近。回生源地就业比例最高的为宁波（</w:t>
      </w:r>
      <w:r>
        <w:rPr>
          <w:rFonts w:hint="eastAsia" w:ascii="宋体" w:hAnsi="宋体" w:eastAsia="宋体" w:cs="宋体"/>
        </w:rPr>
        <w:t>90.57</w:t>
      </w:r>
      <w:r>
        <w:rPr>
          <w:rFonts w:hint="eastAsia" w:ascii="宋体" w:hAnsi="宋体" w:eastAsia="宋体" w:cs="宋体"/>
          <w:lang w:val="zh-CN"/>
        </w:rPr>
        <w:t>%），较去年上升</w:t>
      </w:r>
      <w:r>
        <w:rPr>
          <w:rFonts w:hint="eastAsia" w:ascii="宋体" w:hAnsi="宋体" w:eastAsia="宋体" w:cs="宋体"/>
        </w:rPr>
        <w:t>8.71</w:t>
      </w:r>
      <w:r>
        <w:rPr>
          <w:rFonts w:hint="eastAsia" w:ascii="宋体" w:hAnsi="宋体" w:eastAsia="宋体" w:cs="宋体"/>
          <w:lang w:val="zh-CN"/>
        </w:rPr>
        <w:t>个百分点，其次为杭州（</w:t>
      </w:r>
      <w:r>
        <w:rPr>
          <w:rFonts w:hint="eastAsia" w:ascii="宋体" w:hAnsi="宋体" w:eastAsia="宋体" w:cs="宋体"/>
        </w:rPr>
        <w:t>67.11</w:t>
      </w:r>
      <w:r>
        <w:rPr>
          <w:rFonts w:hint="eastAsia" w:ascii="宋体" w:hAnsi="宋体" w:eastAsia="宋体" w:cs="宋体"/>
          <w:lang w:val="zh-CN"/>
        </w:rPr>
        <w:t>%）和嘉兴（</w:t>
      </w:r>
      <w:r>
        <w:rPr>
          <w:rFonts w:hint="eastAsia" w:ascii="宋体" w:hAnsi="宋体" w:eastAsia="宋体" w:cs="宋体"/>
        </w:rPr>
        <w:t>52.28</w:t>
      </w:r>
      <w:r>
        <w:rPr>
          <w:rFonts w:hint="eastAsia" w:ascii="宋体" w:hAnsi="宋体" w:eastAsia="宋体" w:cs="宋体"/>
          <w:lang w:val="zh-CN"/>
        </w:rPr>
        <w:t>%）。总体上呈现生源地经济越发达，回生源地就业比例越高的特征。</w:t>
      </w:r>
    </w:p>
    <w:p>
      <w:pPr>
        <w:pStyle w:val="15"/>
        <w:widowControl w:val="0"/>
        <w:tabs>
          <w:tab w:val="left" w:pos="825"/>
        </w:tabs>
        <w:spacing w:line="360" w:lineRule="auto"/>
        <w:jc w:val="center"/>
        <w:rPr>
          <w:rFonts w:ascii="黑体" w:hAnsi="Times New Roman" w:eastAsia="黑体" w:cs="黑体"/>
          <w:b/>
          <w:bCs/>
          <w:sz w:val="21"/>
          <w:szCs w:val="21"/>
          <w:lang w:val="zh-CN"/>
        </w:rPr>
      </w:pPr>
      <w:r>
        <w:rPr>
          <w:rFonts w:hint="eastAsia" w:ascii="黑体" w:hAnsi="黑体" w:eastAsia="黑体" w:cs="黑体"/>
          <w:b/>
          <w:bCs/>
          <w:kern w:val="2"/>
          <w:lang w:val="zh-CN"/>
        </w:rPr>
        <w:t xml:space="preserve">表七  </w:t>
      </w:r>
      <w:r>
        <w:rPr>
          <w:rFonts w:hint="eastAsia" w:ascii="黑体" w:hAnsi="Times New Roman" w:eastAsia="黑体" w:cs="黑体"/>
          <w:b/>
          <w:bCs/>
          <w:kern w:val="2"/>
          <w:lang w:val="zh-CN"/>
        </w:rPr>
        <w:t xml:space="preserve"> 毕业生就业地域去向</w:t>
      </w:r>
      <w:r>
        <w:rPr>
          <w:rFonts w:hint="eastAsia" w:ascii="黑体" w:hAnsi="黑体" w:eastAsia="黑体" w:cs="黑体"/>
          <w:b/>
          <w:bCs/>
          <w:kern w:val="2"/>
          <w:lang w:val="zh-CN"/>
        </w:rPr>
        <w:t>（一）</w:t>
      </w:r>
    </w:p>
    <w:tbl>
      <w:tblPr>
        <w:tblStyle w:val="16"/>
        <w:tblW w:w="831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8"/>
        <w:gridCol w:w="981"/>
        <w:gridCol w:w="981"/>
        <w:gridCol w:w="1246"/>
        <w:gridCol w:w="1808"/>
        <w:gridCol w:w="23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8" w:type="dxa"/>
            <w:shd w:val="clear" w:color="auto" w:fill="B6DDE8" w:themeFill="accent5" w:themeFillTint="66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地区</w:t>
            </w:r>
          </w:p>
        </w:tc>
        <w:tc>
          <w:tcPr>
            <w:tcW w:w="981" w:type="dxa"/>
            <w:shd w:val="clear" w:color="auto" w:fill="B6DDE8" w:themeFill="accent5" w:themeFillTint="66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生源数</w:t>
            </w:r>
          </w:p>
        </w:tc>
        <w:tc>
          <w:tcPr>
            <w:tcW w:w="981" w:type="dxa"/>
            <w:shd w:val="clear" w:color="auto" w:fill="B6DDE8" w:themeFill="accent5" w:themeFillTint="66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就业数</w:t>
            </w:r>
          </w:p>
        </w:tc>
        <w:tc>
          <w:tcPr>
            <w:tcW w:w="1246" w:type="dxa"/>
            <w:shd w:val="clear" w:color="auto" w:fill="B6DDE8" w:themeFill="accent5" w:themeFillTint="66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就业率</w:t>
            </w:r>
          </w:p>
        </w:tc>
        <w:tc>
          <w:tcPr>
            <w:tcW w:w="1808" w:type="dxa"/>
            <w:shd w:val="clear" w:color="auto" w:fill="B6DDE8" w:themeFill="accent5" w:themeFillTint="66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回生源地就业人数</w:t>
            </w:r>
          </w:p>
        </w:tc>
        <w:tc>
          <w:tcPr>
            <w:tcW w:w="2318" w:type="dxa"/>
            <w:shd w:val="clear" w:color="auto" w:fill="B6DDE8" w:themeFill="accent5" w:themeFillTint="66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回生源地就业比例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8" w:type="dxa"/>
            <w:shd w:val="clear" w:color="auto" w:fill="F1F1F1" w:themeFill="background1" w:themeFillShade="F2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bottom"/>
            </w:pPr>
            <w:r>
              <w:rPr>
                <w:rFonts w:hint="eastAsia" w:ascii="宋体" w:hAnsi="宋体"/>
                <w:kern w:val="0"/>
                <w:szCs w:val="21"/>
              </w:rPr>
              <w:t>杭州市</w:t>
            </w:r>
          </w:p>
        </w:tc>
        <w:tc>
          <w:tcPr>
            <w:tcW w:w="981" w:type="dxa"/>
            <w:shd w:val="clear" w:color="auto" w:fill="F1F1F1" w:themeFill="background1" w:themeFillShade="F2"/>
            <w:tcMar>
              <w:left w:w="0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/>
                <w:szCs w:val="21"/>
              </w:rPr>
              <w:t>346</w:t>
            </w:r>
          </w:p>
        </w:tc>
        <w:tc>
          <w:tcPr>
            <w:tcW w:w="981" w:type="dxa"/>
            <w:shd w:val="clear" w:color="auto" w:fill="F1F1F1" w:themeFill="background1" w:themeFillShade="F2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298</w:t>
            </w:r>
          </w:p>
        </w:tc>
        <w:tc>
          <w:tcPr>
            <w:tcW w:w="1246" w:type="dxa"/>
            <w:shd w:val="clear" w:color="auto" w:fill="F1F1F1" w:themeFill="background1" w:themeFillShade="F2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86.13%</w:t>
            </w:r>
          </w:p>
        </w:tc>
        <w:tc>
          <w:tcPr>
            <w:tcW w:w="1808" w:type="dxa"/>
            <w:shd w:val="clear" w:color="auto" w:fill="F1F1F1" w:themeFill="background1" w:themeFillShade="F2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2318" w:type="dxa"/>
            <w:shd w:val="clear" w:color="auto" w:fill="F1F1F1" w:themeFill="background1" w:themeFillShade="F2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67.11%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8" w:type="dxa"/>
            <w:shd w:val="clear" w:color="auto" w:fill="B6DDE8" w:themeFill="accent5" w:themeFillTint="66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bottom"/>
            </w:pPr>
            <w:r>
              <w:rPr>
                <w:rFonts w:hint="eastAsia" w:ascii="宋体" w:hAnsi="宋体"/>
                <w:kern w:val="0"/>
                <w:szCs w:val="21"/>
              </w:rPr>
              <w:t>宁波市</w:t>
            </w:r>
          </w:p>
        </w:tc>
        <w:tc>
          <w:tcPr>
            <w:tcW w:w="981" w:type="dxa"/>
            <w:shd w:val="clear" w:color="auto" w:fill="B6DDE8" w:themeFill="accent5" w:themeFillTint="66"/>
            <w:tcMar>
              <w:left w:w="0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504</w:t>
            </w:r>
          </w:p>
        </w:tc>
        <w:tc>
          <w:tcPr>
            <w:tcW w:w="981" w:type="dxa"/>
            <w:shd w:val="clear" w:color="auto" w:fill="B6DDE8" w:themeFill="accent5" w:themeFillTint="66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435</w:t>
            </w:r>
          </w:p>
        </w:tc>
        <w:tc>
          <w:tcPr>
            <w:tcW w:w="1246" w:type="dxa"/>
            <w:shd w:val="clear" w:color="auto" w:fill="B6DDE8" w:themeFill="accent5" w:themeFillTint="66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86.31%</w:t>
            </w:r>
          </w:p>
        </w:tc>
        <w:tc>
          <w:tcPr>
            <w:tcW w:w="1808" w:type="dxa"/>
            <w:shd w:val="clear" w:color="auto" w:fill="B6DDE8" w:themeFill="accent5" w:themeFillTint="66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394</w:t>
            </w:r>
          </w:p>
        </w:tc>
        <w:tc>
          <w:tcPr>
            <w:tcW w:w="2318" w:type="dxa"/>
            <w:shd w:val="clear" w:color="auto" w:fill="B6DDE8" w:themeFill="accent5" w:themeFillTint="66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90.57%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8" w:type="dxa"/>
            <w:shd w:val="clear" w:color="auto" w:fill="F1F1F1" w:themeFill="background1" w:themeFillShade="F2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bottom"/>
            </w:pPr>
            <w:r>
              <w:rPr>
                <w:rFonts w:hint="eastAsia" w:ascii="宋体" w:hAnsi="宋体"/>
                <w:kern w:val="0"/>
                <w:szCs w:val="21"/>
              </w:rPr>
              <w:t>温州市</w:t>
            </w:r>
          </w:p>
        </w:tc>
        <w:tc>
          <w:tcPr>
            <w:tcW w:w="981" w:type="dxa"/>
            <w:shd w:val="clear" w:color="auto" w:fill="F1F1F1" w:themeFill="background1" w:themeFillShade="F2"/>
            <w:tcMar>
              <w:left w:w="0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252</w:t>
            </w:r>
          </w:p>
        </w:tc>
        <w:tc>
          <w:tcPr>
            <w:tcW w:w="981" w:type="dxa"/>
            <w:shd w:val="clear" w:color="auto" w:fill="F1F1F1" w:themeFill="background1" w:themeFillShade="F2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209</w:t>
            </w:r>
          </w:p>
        </w:tc>
        <w:tc>
          <w:tcPr>
            <w:tcW w:w="1246" w:type="dxa"/>
            <w:shd w:val="clear" w:color="auto" w:fill="F1F1F1" w:themeFill="background1" w:themeFillShade="F2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82.94%</w:t>
            </w:r>
          </w:p>
        </w:tc>
        <w:tc>
          <w:tcPr>
            <w:tcW w:w="1808" w:type="dxa"/>
            <w:shd w:val="clear" w:color="auto" w:fill="F1F1F1" w:themeFill="background1" w:themeFillShade="F2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67</w:t>
            </w:r>
          </w:p>
        </w:tc>
        <w:tc>
          <w:tcPr>
            <w:tcW w:w="2318" w:type="dxa"/>
            <w:shd w:val="clear" w:color="auto" w:fill="F1F1F1" w:themeFill="background1" w:themeFillShade="F2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32.06%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8" w:type="dxa"/>
            <w:shd w:val="clear" w:color="auto" w:fill="B6DDE8" w:themeFill="accent5" w:themeFillTint="66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bottom"/>
            </w:pPr>
            <w:r>
              <w:rPr>
                <w:rFonts w:hint="eastAsia" w:ascii="宋体" w:hAnsi="宋体"/>
                <w:kern w:val="0"/>
                <w:szCs w:val="21"/>
              </w:rPr>
              <w:t>嘉兴市</w:t>
            </w:r>
          </w:p>
        </w:tc>
        <w:tc>
          <w:tcPr>
            <w:tcW w:w="981" w:type="dxa"/>
            <w:shd w:val="clear" w:color="auto" w:fill="B6DDE8" w:themeFill="accent5" w:themeFillTint="66"/>
            <w:tcMar>
              <w:left w:w="0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218</w:t>
            </w:r>
          </w:p>
        </w:tc>
        <w:tc>
          <w:tcPr>
            <w:tcW w:w="981" w:type="dxa"/>
            <w:shd w:val="clear" w:color="auto" w:fill="B6DDE8" w:themeFill="accent5" w:themeFillTint="66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197</w:t>
            </w:r>
          </w:p>
        </w:tc>
        <w:tc>
          <w:tcPr>
            <w:tcW w:w="1246" w:type="dxa"/>
            <w:shd w:val="clear" w:color="auto" w:fill="B6DDE8" w:themeFill="accent5" w:themeFillTint="66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90.37%</w:t>
            </w:r>
          </w:p>
        </w:tc>
        <w:tc>
          <w:tcPr>
            <w:tcW w:w="1808" w:type="dxa"/>
            <w:shd w:val="clear" w:color="auto" w:fill="B6DDE8" w:themeFill="accent5" w:themeFillTint="66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103</w:t>
            </w:r>
          </w:p>
        </w:tc>
        <w:tc>
          <w:tcPr>
            <w:tcW w:w="2318" w:type="dxa"/>
            <w:shd w:val="clear" w:color="auto" w:fill="B6DDE8" w:themeFill="accent5" w:themeFillTint="66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52.28%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8" w:type="dxa"/>
            <w:shd w:val="clear" w:color="auto" w:fill="F1F1F1" w:themeFill="background1" w:themeFillShade="F2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bottom"/>
            </w:pPr>
            <w:r>
              <w:rPr>
                <w:rFonts w:hint="eastAsia" w:ascii="宋体" w:hAnsi="宋体"/>
                <w:kern w:val="0"/>
                <w:szCs w:val="21"/>
              </w:rPr>
              <w:t>湖州市</w:t>
            </w:r>
          </w:p>
        </w:tc>
        <w:tc>
          <w:tcPr>
            <w:tcW w:w="981" w:type="dxa"/>
            <w:shd w:val="clear" w:color="auto" w:fill="F1F1F1" w:themeFill="background1" w:themeFillShade="F2"/>
            <w:tcMar>
              <w:left w:w="0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148</w:t>
            </w:r>
          </w:p>
        </w:tc>
        <w:tc>
          <w:tcPr>
            <w:tcW w:w="981" w:type="dxa"/>
            <w:shd w:val="clear" w:color="auto" w:fill="F1F1F1" w:themeFill="background1" w:themeFillShade="F2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124</w:t>
            </w:r>
          </w:p>
        </w:tc>
        <w:tc>
          <w:tcPr>
            <w:tcW w:w="1246" w:type="dxa"/>
            <w:shd w:val="clear" w:color="auto" w:fill="F1F1F1" w:themeFill="background1" w:themeFillShade="F2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83.78%</w:t>
            </w:r>
          </w:p>
        </w:tc>
        <w:tc>
          <w:tcPr>
            <w:tcW w:w="1808" w:type="dxa"/>
            <w:shd w:val="clear" w:color="auto" w:fill="F1F1F1" w:themeFill="background1" w:themeFillShade="F2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48</w:t>
            </w:r>
          </w:p>
        </w:tc>
        <w:tc>
          <w:tcPr>
            <w:tcW w:w="2318" w:type="dxa"/>
            <w:shd w:val="clear" w:color="auto" w:fill="F1F1F1" w:themeFill="background1" w:themeFillShade="F2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38.71%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8" w:type="dxa"/>
            <w:shd w:val="clear" w:color="auto" w:fill="B6DDE8" w:themeFill="accent5" w:themeFillTint="66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bottom"/>
            </w:pPr>
            <w:r>
              <w:rPr>
                <w:rFonts w:hint="eastAsia" w:ascii="宋体" w:hAnsi="宋体"/>
                <w:kern w:val="0"/>
                <w:szCs w:val="21"/>
              </w:rPr>
              <w:t>绍兴市</w:t>
            </w:r>
          </w:p>
        </w:tc>
        <w:tc>
          <w:tcPr>
            <w:tcW w:w="981" w:type="dxa"/>
            <w:shd w:val="clear" w:color="auto" w:fill="B6DDE8" w:themeFill="accent5" w:themeFillTint="66"/>
            <w:tcMar>
              <w:left w:w="0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315</w:t>
            </w:r>
          </w:p>
        </w:tc>
        <w:tc>
          <w:tcPr>
            <w:tcW w:w="981" w:type="dxa"/>
            <w:shd w:val="clear" w:color="auto" w:fill="B6DDE8" w:themeFill="accent5" w:themeFillTint="66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260</w:t>
            </w:r>
          </w:p>
        </w:tc>
        <w:tc>
          <w:tcPr>
            <w:tcW w:w="1246" w:type="dxa"/>
            <w:shd w:val="clear" w:color="auto" w:fill="B6DDE8" w:themeFill="accent5" w:themeFillTint="66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82.54%</w:t>
            </w:r>
          </w:p>
        </w:tc>
        <w:tc>
          <w:tcPr>
            <w:tcW w:w="1808" w:type="dxa"/>
            <w:shd w:val="clear" w:color="auto" w:fill="B6DDE8" w:themeFill="accent5" w:themeFillTint="66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92</w:t>
            </w:r>
          </w:p>
        </w:tc>
        <w:tc>
          <w:tcPr>
            <w:tcW w:w="2318" w:type="dxa"/>
            <w:shd w:val="clear" w:color="auto" w:fill="B6DDE8" w:themeFill="accent5" w:themeFillTint="66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35.38%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8" w:type="dxa"/>
            <w:shd w:val="clear" w:color="auto" w:fill="F1F1F1" w:themeFill="background1" w:themeFillShade="F2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bottom"/>
            </w:pPr>
            <w:r>
              <w:rPr>
                <w:rFonts w:hint="eastAsia" w:ascii="宋体" w:hAnsi="宋体"/>
                <w:kern w:val="0"/>
                <w:szCs w:val="21"/>
              </w:rPr>
              <w:t>金华市</w:t>
            </w:r>
          </w:p>
        </w:tc>
        <w:tc>
          <w:tcPr>
            <w:tcW w:w="981" w:type="dxa"/>
            <w:shd w:val="clear" w:color="auto" w:fill="F1F1F1" w:themeFill="background1" w:themeFillShade="F2"/>
            <w:tcMar>
              <w:left w:w="0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244</w:t>
            </w:r>
          </w:p>
        </w:tc>
        <w:tc>
          <w:tcPr>
            <w:tcW w:w="981" w:type="dxa"/>
            <w:shd w:val="clear" w:color="auto" w:fill="F1F1F1" w:themeFill="background1" w:themeFillShade="F2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215</w:t>
            </w:r>
          </w:p>
        </w:tc>
        <w:tc>
          <w:tcPr>
            <w:tcW w:w="1246" w:type="dxa"/>
            <w:shd w:val="clear" w:color="auto" w:fill="F1F1F1" w:themeFill="background1" w:themeFillShade="F2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88.11%</w:t>
            </w:r>
          </w:p>
        </w:tc>
        <w:tc>
          <w:tcPr>
            <w:tcW w:w="1808" w:type="dxa"/>
            <w:shd w:val="clear" w:color="auto" w:fill="F1F1F1" w:themeFill="background1" w:themeFillShade="F2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78</w:t>
            </w:r>
          </w:p>
        </w:tc>
        <w:tc>
          <w:tcPr>
            <w:tcW w:w="2318" w:type="dxa"/>
            <w:shd w:val="clear" w:color="auto" w:fill="F1F1F1" w:themeFill="background1" w:themeFillShade="F2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36.28%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8" w:type="dxa"/>
            <w:shd w:val="clear" w:color="auto" w:fill="B6DDE8" w:themeFill="accent5" w:themeFillTint="66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bottom"/>
            </w:pPr>
            <w:r>
              <w:rPr>
                <w:rFonts w:hint="eastAsia" w:ascii="宋体" w:hAnsi="宋体"/>
                <w:kern w:val="0"/>
                <w:szCs w:val="21"/>
              </w:rPr>
              <w:t>衢州市</w:t>
            </w:r>
          </w:p>
        </w:tc>
        <w:tc>
          <w:tcPr>
            <w:tcW w:w="981" w:type="dxa"/>
            <w:shd w:val="clear" w:color="auto" w:fill="B6DDE8" w:themeFill="accent5" w:themeFillTint="66"/>
            <w:tcMar>
              <w:left w:w="0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127</w:t>
            </w:r>
          </w:p>
        </w:tc>
        <w:tc>
          <w:tcPr>
            <w:tcW w:w="981" w:type="dxa"/>
            <w:shd w:val="clear" w:color="auto" w:fill="B6DDE8" w:themeFill="accent5" w:themeFillTint="66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109</w:t>
            </w:r>
          </w:p>
        </w:tc>
        <w:tc>
          <w:tcPr>
            <w:tcW w:w="1246" w:type="dxa"/>
            <w:shd w:val="clear" w:color="auto" w:fill="B6DDE8" w:themeFill="accent5" w:themeFillTint="66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85.83%</w:t>
            </w:r>
          </w:p>
        </w:tc>
        <w:tc>
          <w:tcPr>
            <w:tcW w:w="1808" w:type="dxa"/>
            <w:shd w:val="clear" w:color="auto" w:fill="B6DDE8" w:themeFill="accent5" w:themeFillTint="66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2318" w:type="dxa"/>
            <w:shd w:val="clear" w:color="auto" w:fill="B6DDE8" w:themeFill="accent5" w:themeFillTint="66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21.10%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8" w:type="dxa"/>
            <w:shd w:val="clear" w:color="auto" w:fill="F1F1F1" w:themeFill="background1" w:themeFillShade="F2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bottom"/>
            </w:pPr>
            <w:r>
              <w:rPr>
                <w:rFonts w:hint="eastAsia" w:ascii="宋体" w:hAnsi="宋体"/>
                <w:kern w:val="0"/>
                <w:szCs w:val="21"/>
              </w:rPr>
              <w:t>舟山市</w:t>
            </w:r>
          </w:p>
        </w:tc>
        <w:tc>
          <w:tcPr>
            <w:tcW w:w="981" w:type="dxa"/>
            <w:shd w:val="clear" w:color="auto" w:fill="F1F1F1" w:themeFill="background1" w:themeFillShade="F2"/>
            <w:tcMar>
              <w:left w:w="0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41</w:t>
            </w:r>
          </w:p>
        </w:tc>
        <w:tc>
          <w:tcPr>
            <w:tcW w:w="981" w:type="dxa"/>
            <w:shd w:val="clear" w:color="auto" w:fill="F1F1F1" w:themeFill="background1" w:themeFillShade="F2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1246" w:type="dxa"/>
            <w:shd w:val="clear" w:color="auto" w:fill="F1F1F1" w:themeFill="background1" w:themeFillShade="F2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85.37%</w:t>
            </w:r>
          </w:p>
        </w:tc>
        <w:tc>
          <w:tcPr>
            <w:tcW w:w="1808" w:type="dxa"/>
            <w:shd w:val="clear" w:color="auto" w:fill="F1F1F1" w:themeFill="background1" w:themeFillShade="F2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2318" w:type="dxa"/>
            <w:shd w:val="clear" w:color="auto" w:fill="F1F1F1" w:themeFill="background1" w:themeFillShade="F2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20.00%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8" w:type="dxa"/>
            <w:shd w:val="clear" w:color="auto" w:fill="B6DDE8" w:themeFill="accent5" w:themeFillTint="66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bottom"/>
            </w:pPr>
            <w:r>
              <w:rPr>
                <w:rFonts w:hint="eastAsia" w:ascii="宋体" w:hAnsi="宋体"/>
                <w:kern w:val="0"/>
                <w:szCs w:val="21"/>
              </w:rPr>
              <w:t>台州市</w:t>
            </w:r>
          </w:p>
        </w:tc>
        <w:tc>
          <w:tcPr>
            <w:tcW w:w="981" w:type="dxa"/>
            <w:shd w:val="clear" w:color="auto" w:fill="B6DDE8" w:themeFill="accent5" w:themeFillTint="66"/>
            <w:tcMar>
              <w:left w:w="0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252</w:t>
            </w:r>
          </w:p>
        </w:tc>
        <w:tc>
          <w:tcPr>
            <w:tcW w:w="981" w:type="dxa"/>
            <w:shd w:val="clear" w:color="auto" w:fill="B6DDE8" w:themeFill="accent5" w:themeFillTint="66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223</w:t>
            </w:r>
          </w:p>
        </w:tc>
        <w:tc>
          <w:tcPr>
            <w:tcW w:w="1246" w:type="dxa"/>
            <w:shd w:val="clear" w:color="auto" w:fill="B6DDE8" w:themeFill="accent5" w:themeFillTint="66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88.49%</w:t>
            </w:r>
          </w:p>
        </w:tc>
        <w:tc>
          <w:tcPr>
            <w:tcW w:w="1808" w:type="dxa"/>
            <w:shd w:val="clear" w:color="auto" w:fill="B6DDE8" w:themeFill="accent5" w:themeFillTint="66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64</w:t>
            </w:r>
          </w:p>
        </w:tc>
        <w:tc>
          <w:tcPr>
            <w:tcW w:w="2318" w:type="dxa"/>
            <w:shd w:val="clear" w:color="auto" w:fill="B6DDE8" w:themeFill="accent5" w:themeFillTint="66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28.70%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8" w:type="dxa"/>
            <w:shd w:val="clear" w:color="auto" w:fill="F1F1F1" w:themeFill="background1" w:themeFillShade="F2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bottom"/>
            </w:pPr>
            <w:r>
              <w:rPr>
                <w:rFonts w:hint="eastAsia" w:ascii="宋体" w:hAnsi="宋体"/>
                <w:kern w:val="0"/>
                <w:szCs w:val="21"/>
              </w:rPr>
              <w:t>丽水市</w:t>
            </w:r>
          </w:p>
        </w:tc>
        <w:tc>
          <w:tcPr>
            <w:tcW w:w="981" w:type="dxa"/>
            <w:shd w:val="clear" w:color="auto" w:fill="F1F1F1" w:themeFill="background1" w:themeFillShade="F2"/>
            <w:tcMar>
              <w:left w:w="0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90</w:t>
            </w:r>
          </w:p>
        </w:tc>
        <w:tc>
          <w:tcPr>
            <w:tcW w:w="981" w:type="dxa"/>
            <w:shd w:val="clear" w:color="auto" w:fill="F1F1F1" w:themeFill="background1" w:themeFillShade="F2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82</w:t>
            </w:r>
          </w:p>
        </w:tc>
        <w:tc>
          <w:tcPr>
            <w:tcW w:w="1246" w:type="dxa"/>
            <w:shd w:val="clear" w:color="auto" w:fill="F1F1F1" w:themeFill="background1" w:themeFillShade="F2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91.11%</w:t>
            </w:r>
          </w:p>
        </w:tc>
        <w:tc>
          <w:tcPr>
            <w:tcW w:w="1808" w:type="dxa"/>
            <w:shd w:val="clear" w:color="auto" w:fill="F1F1F1" w:themeFill="background1" w:themeFillShade="F2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2318" w:type="dxa"/>
            <w:shd w:val="clear" w:color="auto" w:fill="F1F1F1" w:themeFill="background1" w:themeFillShade="F2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24.39%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8" w:type="dxa"/>
            <w:shd w:val="clear" w:color="auto" w:fill="B6DDE8" w:themeFill="accent5" w:themeFillTint="66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bottom"/>
            </w:pPr>
            <w:r>
              <w:rPr>
                <w:rFonts w:hint="eastAsia" w:ascii="宋体" w:hAnsi="宋体"/>
                <w:kern w:val="0"/>
                <w:szCs w:val="21"/>
              </w:rPr>
              <w:t>浙江省</w:t>
            </w:r>
          </w:p>
        </w:tc>
        <w:tc>
          <w:tcPr>
            <w:tcW w:w="981" w:type="dxa"/>
            <w:shd w:val="clear" w:color="auto" w:fill="B6DDE8" w:themeFill="accent5" w:themeFillTint="66"/>
            <w:tcMar>
              <w:left w:w="0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2537</w:t>
            </w:r>
          </w:p>
        </w:tc>
        <w:tc>
          <w:tcPr>
            <w:tcW w:w="981" w:type="dxa"/>
            <w:shd w:val="clear" w:color="auto" w:fill="B6DDE8" w:themeFill="accent5" w:themeFillTint="66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2187</w:t>
            </w:r>
          </w:p>
        </w:tc>
        <w:tc>
          <w:tcPr>
            <w:tcW w:w="1246" w:type="dxa"/>
            <w:shd w:val="clear" w:color="auto" w:fill="B6DDE8" w:themeFill="accent5" w:themeFillTint="66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86.20%</w:t>
            </w:r>
          </w:p>
        </w:tc>
        <w:tc>
          <w:tcPr>
            <w:tcW w:w="1808" w:type="dxa"/>
            <w:shd w:val="clear" w:color="auto" w:fill="B6DDE8" w:themeFill="accent5" w:themeFillTint="66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2066</w:t>
            </w:r>
          </w:p>
        </w:tc>
        <w:tc>
          <w:tcPr>
            <w:tcW w:w="2318" w:type="dxa"/>
            <w:shd w:val="clear" w:color="auto" w:fill="B6DDE8" w:themeFill="accent5" w:themeFillTint="66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94.47%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8" w:type="dxa"/>
            <w:shd w:val="clear" w:color="auto" w:fill="F1F1F1" w:themeFill="background1" w:themeFillShade="F2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bottom"/>
            </w:pPr>
            <w:r>
              <w:rPr>
                <w:rFonts w:hint="eastAsia" w:ascii="宋体" w:hAnsi="宋体"/>
                <w:kern w:val="0"/>
                <w:szCs w:val="21"/>
              </w:rPr>
              <w:t>外省</w:t>
            </w:r>
          </w:p>
        </w:tc>
        <w:tc>
          <w:tcPr>
            <w:tcW w:w="981" w:type="dxa"/>
            <w:shd w:val="clear" w:color="auto" w:fill="F1F1F1" w:themeFill="background1" w:themeFillShade="F2"/>
            <w:tcMar>
              <w:left w:w="0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965</w:t>
            </w:r>
          </w:p>
        </w:tc>
        <w:tc>
          <w:tcPr>
            <w:tcW w:w="981" w:type="dxa"/>
            <w:shd w:val="clear" w:color="auto" w:fill="F1F1F1" w:themeFill="background1" w:themeFillShade="F2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809</w:t>
            </w:r>
          </w:p>
        </w:tc>
        <w:tc>
          <w:tcPr>
            <w:tcW w:w="1246" w:type="dxa"/>
            <w:shd w:val="clear" w:color="auto" w:fill="F1F1F1" w:themeFill="background1" w:themeFillShade="F2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83.83%</w:t>
            </w:r>
          </w:p>
        </w:tc>
        <w:tc>
          <w:tcPr>
            <w:tcW w:w="1808" w:type="dxa"/>
            <w:shd w:val="clear" w:color="auto" w:fill="F1F1F1" w:themeFill="background1" w:themeFillShade="F2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247</w:t>
            </w:r>
          </w:p>
        </w:tc>
        <w:tc>
          <w:tcPr>
            <w:tcW w:w="2318" w:type="dxa"/>
            <w:shd w:val="clear" w:color="auto" w:fill="F1F1F1" w:themeFill="background1" w:themeFillShade="F2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30.53%</w:t>
            </w:r>
          </w:p>
        </w:tc>
      </w:tr>
    </w:tbl>
    <w:p>
      <w:pPr>
        <w:autoSpaceDE w:val="0"/>
        <w:autoSpaceDN w:val="0"/>
        <w:spacing w:line="360" w:lineRule="auto"/>
        <w:ind w:firstLine="480" w:firstLineChars="200"/>
        <w:rPr>
          <w:rFonts w:hint="eastAsia" w:hAnsi="宋体" w:cs="Times New Roman"/>
          <w:sz w:val="24"/>
          <w:szCs w:val="20"/>
          <w:lang w:val="zh-CN"/>
        </w:rPr>
      </w:pPr>
    </w:p>
    <w:p>
      <w:pPr>
        <w:autoSpaceDE w:val="0"/>
        <w:autoSpaceDN w:val="0"/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0"/>
          <w:lang w:val="zh-CN"/>
        </w:rPr>
      </w:pPr>
      <w:r>
        <w:rPr>
          <w:rFonts w:hint="eastAsia" w:ascii="宋体" w:hAnsi="宋体" w:eastAsia="宋体" w:cs="宋体"/>
          <w:sz w:val="24"/>
          <w:szCs w:val="20"/>
          <w:lang w:val="zh-CN"/>
        </w:rPr>
        <w:t>表八显示毕业生就业</w:t>
      </w:r>
      <w:r>
        <w:rPr>
          <w:rFonts w:hint="eastAsia" w:ascii="宋体" w:hAnsi="宋体" w:cs="宋体"/>
          <w:sz w:val="24"/>
          <w:szCs w:val="20"/>
          <w:lang w:val="zh-CN"/>
        </w:rPr>
        <w:t>地域主要集中在长三角经济发达城市</w:t>
      </w:r>
      <w:r>
        <w:rPr>
          <w:rFonts w:hint="eastAsia" w:ascii="宋体" w:hAnsi="宋体" w:eastAsia="宋体" w:cs="宋体"/>
          <w:sz w:val="24"/>
          <w:szCs w:val="20"/>
          <w:lang w:val="zh-CN"/>
        </w:rPr>
        <w:t>，</w:t>
      </w:r>
      <w:r>
        <w:rPr>
          <w:rFonts w:hint="eastAsia" w:ascii="宋体" w:hAnsi="宋体" w:cs="宋体"/>
          <w:sz w:val="24"/>
          <w:szCs w:val="20"/>
          <w:lang w:val="zh-CN"/>
        </w:rPr>
        <w:t>因学校驻地在宁波、人才培养定位，以及宁波经济发展、生活幸福指数等各方面因素的影响，宁波</w:t>
      </w:r>
      <w:r>
        <w:rPr>
          <w:rFonts w:hint="eastAsia" w:ascii="宋体" w:hAnsi="宋体" w:eastAsia="宋体" w:cs="宋体"/>
          <w:sz w:val="24"/>
          <w:szCs w:val="20"/>
          <w:lang w:val="zh-CN"/>
        </w:rPr>
        <w:t>就业人数</w:t>
      </w:r>
      <w:r>
        <w:rPr>
          <w:rFonts w:hint="eastAsia" w:ascii="宋体" w:hAnsi="宋体" w:cs="宋体"/>
          <w:sz w:val="24"/>
          <w:szCs w:val="20"/>
          <w:lang w:val="zh-CN"/>
        </w:rPr>
        <w:t>超过一半</w:t>
      </w:r>
      <w:r>
        <w:rPr>
          <w:rFonts w:hint="eastAsia" w:ascii="宋体" w:hAnsi="宋体" w:eastAsia="宋体" w:cs="宋体"/>
          <w:sz w:val="24"/>
          <w:szCs w:val="20"/>
          <w:lang w:val="zh-CN"/>
        </w:rPr>
        <w:t>，</w:t>
      </w:r>
      <w:r>
        <w:rPr>
          <w:rFonts w:hint="eastAsia" w:ascii="宋体" w:hAnsi="宋体" w:cs="宋体"/>
          <w:sz w:val="24"/>
          <w:szCs w:val="20"/>
          <w:lang w:val="zh-CN"/>
        </w:rPr>
        <w:t>比去年上升近</w:t>
      </w:r>
      <w:r>
        <w:rPr>
          <w:rFonts w:hint="eastAsia" w:ascii="宋体" w:hAnsi="宋体" w:cs="宋体"/>
          <w:sz w:val="24"/>
          <w:szCs w:val="20"/>
          <w:lang w:val="en-US" w:eastAsia="zh-CN"/>
        </w:rPr>
        <w:t>4个百分点。其次是杭州，杭州吸引就业比例较去年上升了近3个百分点，宁波、杭州引才比例占总就业人数的69.18%</w:t>
      </w:r>
      <w:r>
        <w:rPr>
          <w:rFonts w:hint="eastAsia" w:ascii="宋体" w:hAnsi="宋体" w:eastAsia="宋体" w:cs="宋体"/>
          <w:sz w:val="24"/>
          <w:szCs w:val="20"/>
          <w:lang w:val="zh-CN"/>
        </w:rPr>
        <w:t>。今年外省毕业生回生源地就业的比例较去年下降约</w:t>
      </w:r>
      <w:r>
        <w:rPr>
          <w:rFonts w:hint="eastAsia" w:ascii="宋体" w:hAnsi="宋体" w:eastAsia="宋体" w:cs="宋体"/>
          <w:color w:val="auto"/>
          <w:sz w:val="24"/>
          <w:szCs w:val="20"/>
        </w:rPr>
        <w:t>11</w:t>
      </w:r>
      <w:r>
        <w:rPr>
          <w:rFonts w:hint="eastAsia" w:ascii="宋体" w:hAnsi="宋体" w:eastAsia="宋体" w:cs="宋体"/>
          <w:sz w:val="24"/>
          <w:szCs w:val="20"/>
          <w:lang w:val="zh-CN"/>
        </w:rPr>
        <w:t>个百分点，表明外省毕业生回生源地就业的意愿有所下降，更愿意留在宁波及杭州等经济较发达的地区就业。</w:t>
      </w:r>
    </w:p>
    <w:p>
      <w:pPr>
        <w:pStyle w:val="15"/>
        <w:widowControl w:val="0"/>
        <w:tabs>
          <w:tab w:val="left" w:pos="825"/>
        </w:tabs>
        <w:spacing w:line="360" w:lineRule="auto"/>
        <w:jc w:val="center"/>
        <w:rPr>
          <w:rFonts w:ascii="黑体" w:hAnsi="Times New Roman" w:eastAsia="黑体" w:cs="黑体"/>
          <w:b/>
          <w:bCs/>
          <w:color w:val="auto"/>
          <w:sz w:val="21"/>
          <w:szCs w:val="21"/>
          <w:lang w:val="zh-CN"/>
        </w:rPr>
      </w:pPr>
      <w:r>
        <w:rPr>
          <w:rFonts w:hint="eastAsia" w:ascii="黑体" w:hAnsi="Times New Roman" w:eastAsia="黑体" w:cs="黑体"/>
          <w:b/>
          <w:bCs/>
          <w:color w:val="auto"/>
          <w:kern w:val="2"/>
          <w:lang w:val="zh-CN"/>
        </w:rPr>
        <w:t>表八  毕业生就业地域去向（二）</w:t>
      </w:r>
    </w:p>
    <w:tbl>
      <w:tblPr>
        <w:tblStyle w:val="16"/>
        <w:tblW w:w="831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9"/>
        <w:gridCol w:w="981"/>
        <w:gridCol w:w="1711"/>
        <w:gridCol w:w="2442"/>
        <w:gridCol w:w="21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79" w:type="dxa"/>
            <w:shd w:val="clear" w:color="auto" w:fill="B6DDE8" w:themeFill="accent5" w:themeFillTint="66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Times New Roman" w:cs="Times New Roman"/>
                <w:b/>
                <w:kern w:val="0"/>
                <w:szCs w:val="21"/>
              </w:rPr>
            </w:pPr>
            <w:r>
              <w:rPr>
                <w:rFonts w:ascii="Times New Roman" w:hAnsi="宋体" w:eastAsia="Times New Roman" w:cs="Times New Roman"/>
                <w:b/>
                <w:kern w:val="0"/>
                <w:szCs w:val="21"/>
              </w:rPr>
              <w:t>地区</w:t>
            </w:r>
          </w:p>
        </w:tc>
        <w:tc>
          <w:tcPr>
            <w:tcW w:w="981" w:type="dxa"/>
            <w:shd w:val="clear" w:color="auto" w:fill="B6DDE8" w:themeFill="accent5" w:themeFillTint="66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Times New Roman" w:cs="Times New Roman"/>
                <w:b/>
                <w:kern w:val="0"/>
                <w:szCs w:val="21"/>
              </w:rPr>
            </w:pPr>
            <w:r>
              <w:rPr>
                <w:rFonts w:ascii="Times New Roman" w:hAnsi="宋体" w:eastAsia="Times New Roman" w:cs="Times New Roman"/>
                <w:b/>
                <w:kern w:val="0"/>
                <w:szCs w:val="21"/>
              </w:rPr>
              <w:t>生源数</w:t>
            </w:r>
          </w:p>
        </w:tc>
        <w:tc>
          <w:tcPr>
            <w:tcW w:w="1711" w:type="dxa"/>
            <w:shd w:val="clear" w:color="auto" w:fill="B6DDE8" w:themeFill="accent5" w:themeFillTint="66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Times New Roman" w:cs="Times New Roman"/>
                <w:b/>
                <w:kern w:val="0"/>
                <w:szCs w:val="21"/>
              </w:rPr>
            </w:pPr>
            <w:r>
              <w:rPr>
                <w:rFonts w:ascii="Times New Roman" w:hAnsi="宋体" w:eastAsia="Times New Roman" w:cs="Times New Roman"/>
                <w:b/>
                <w:kern w:val="0"/>
                <w:szCs w:val="21"/>
              </w:rPr>
              <w:t>该地区就业数</w:t>
            </w:r>
          </w:p>
        </w:tc>
        <w:tc>
          <w:tcPr>
            <w:tcW w:w="2442" w:type="dxa"/>
            <w:shd w:val="clear" w:color="auto" w:fill="B6DDE8" w:themeFill="accent5" w:themeFillTint="66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Times New Roman" w:cs="Times New Roman"/>
                <w:b/>
                <w:kern w:val="0"/>
                <w:szCs w:val="21"/>
              </w:rPr>
            </w:pPr>
            <w:r>
              <w:rPr>
                <w:rFonts w:ascii="Times New Roman" w:hAnsi="宋体" w:eastAsia="Times New Roman" w:cs="Times New Roman"/>
                <w:b/>
                <w:kern w:val="0"/>
                <w:szCs w:val="21"/>
              </w:rPr>
              <w:t>就业数与生源数比例</w:t>
            </w:r>
          </w:p>
        </w:tc>
        <w:tc>
          <w:tcPr>
            <w:tcW w:w="2199" w:type="dxa"/>
            <w:shd w:val="clear" w:color="auto" w:fill="B6DDE8" w:themeFill="accent5" w:themeFillTint="66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Times New Roman" w:cs="Times New Roman"/>
                <w:b/>
                <w:kern w:val="0"/>
                <w:szCs w:val="21"/>
              </w:rPr>
            </w:pPr>
            <w:r>
              <w:rPr>
                <w:rFonts w:ascii="Times New Roman" w:hAnsi="宋体" w:eastAsia="Times New Roman" w:cs="Times New Roman"/>
                <w:b/>
                <w:kern w:val="0"/>
                <w:szCs w:val="21"/>
              </w:rPr>
              <w:t>地区吸引就业比例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79" w:type="dxa"/>
            <w:shd w:val="clear" w:color="auto" w:fill="F1F1F1" w:themeFill="background1" w:themeFillShade="F2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Times New Roman"/>
                <w:kern w:val="0"/>
                <w:szCs w:val="21"/>
              </w:rPr>
            </w:pPr>
            <w:r>
              <w:rPr>
                <w:rFonts w:hint="eastAsia" w:ascii="宋体" w:hAnsi="宋体" w:eastAsia="Times New Roman"/>
                <w:kern w:val="0"/>
                <w:szCs w:val="21"/>
              </w:rPr>
              <w:t>杭州市</w:t>
            </w:r>
          </w:p>
        </w:tc>
        <w:tc>
          <w:tcPr>
            <w:tcW w:w="981" w:type="dxa"/>
            <w:shd w:val="clear" w:color="auto" w:fill="F1F1F1" w:themeFill="background1" w:themeFillShade="F2"/>
            <w:tcMar>
              <w:left w:w="0" w:type="dxa"/>
              <w:right w:w="0" w:type="dxa"/>
            </w:tcMar>
            <w:vAlign w:val="bottom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346</w:t>
            </w:r>
          </w:p>
        </w:tc>
        <w:tc>
          <w:tcPr>
            <w:tcW w:w="1711" w:type="dxa"/>
            <w:shd w:val="clear" w:color="auto" w:fill="F1F1F1" w:themeFill="background1" w:themeFillShade="F2"/>
            <w:tcMar>
              <w:left w:w="0" w:type="dxa"/>
              <w:right w:w="0" w:type="dxa"/>
            </w:tcMar>
            <w:vAlign w:val="bottom"/>
          </w:tcPr>
          <w:p>
            <w:pPr>
              <w:jc w:val="center"/>
              <w:rPr>
                <w:rFonts w:hint="default" w:asciiTheme="minorEastAsia" w:hAnsiTheme="minorEastAsia" w:eastAsiaTheme="minorEastAsia"/>
                <w:color w:val="auto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Cs w:val="21"/>
                <w:lang w:val="en-US" w:eastAsia="zh-CN"/>
              </w:rPr>
              <w:t>460</w:t>
            </w:r>
          </w:p>
        </w:tc>
        <w:tc>
          <w:tcPr>
            <w:tcW w:w="2442" w:type="dxa"/>
            <w:shd w:val="clear" w:color="auto" w:fill="F1F1F1" w:themeFill="background1" w:themeFillShade="F2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132.95%</w:t>
            </w:r>
          </w:p>
        </w:tc>
        <w:tc>
          <w:tcPr>
            <w:tcW w:w="2199" w:type="dxa"/>
            <w:shd w:val="clear" w:color="auto" w:fill="F1F1F1" w:themeFill="background1" w:themeFillShade="F2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15.44%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79" w:type="dxa"/>
            <w:shd w:val="clear" w:color="auto" w:fill="B6DDE8" w:themeFill="accent5" w:themeFillTint="66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Times New Roman"/>
                <w:kern w:val="0"/>
                <w:szCs w:val="21"/>
              </w:rPr>
            </w:pPr>
            <w:r>
              <w:rPr>
                <w:rFonts w:hint="eastAsia" w:ascii="宋体" w:hAnsi="宋体" w:eastAsia="Times New Roman"/>
                <w:kern w:val="0"/>
                <w:szCs w:val="21"/>
              </w:rPr>
              <w:t>宁波市</w:t>
            </w:r>
          </w:p>
        </w:tc>
        <w:tc>
          <w:tcPr>
            <w:tcW w:w="981" w:type="dxa"/>
            <w:shd w:val="clear" w:color="auto" w:fill="B6DDE8" w:themeFill="accent5" w:themeFillTint="66"/>
            <w:tcMar>
              <w:left w:w="0" w:type="dxa"/>
              <w:right w:w="0" w:type="dxa"/>
            </w:tcMar>
            <w:vAlign w:val="bottom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zCs w:val="21"/>
              </w:rPr>
            </w:pPr>
            <w:r>
              <w:rPr>
                <w:rFonts w:cs="Times New Roman" w:asciiTheme="minorEastAsia" w:hAnsiTheme="minorEastAsia" w:eastAsiaTheme="minorEastAsia"/>
                <w:szCs w:val="21"/>
              </w:rPr>
              <w:t>504</w:t>
            </w:r>
          </w:p>
        </w:tc>
        <w:tc>
          <w:tcPr>
            <w:tcW w:w="1711" w:type="dxa"/>
            <w:shd w:val="clear" w:color="auto" w:fill="B6DDE8" w:themeFill="accent5" w:themeFillTint="66"/>
            <w:tcMar>
              <w:left w:w="0" w:type="dxa"/>
              <w:right w:w="0" w:type="dxa"/>
            </w:tcMar>
            <w:vAlign w:val="bottom"/>
          </w:tcPr>
          <w:p>
            <w:pPr>
              <w:jc w:val="center"/>
              <w:rPr>
                <w:rFonts w:hint="default" w:asciiTheme="minorEastAsia" w:hAnsiTheme="minorEastAsia" w:eastAsiaTheme="minorEastAsia"/>
                <w:color w:val="auto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Cs w:val="21"/>
                <w:lang w:val="en-US" w:eastAsia="zh-CN"/>
              </w:rPr>
              <w:t>1601</w:t>
            </w:r>
          </w:p>
        </w:tc>
        <w:tc>
          <w:tcPr>
            <w:tcW w:w="2442" w:type="dxa"/>
            <w:shd w:val="clear" w:color="auto" w:fill="B6DDE8" w:themeFill="accent5" w:themeFillTint="66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317.66%</w:t>
            </w:r>
          </w:p>
        </w:tc>
        <w:tc>
          <w:tcPr>
            <w:tcW w:w="2199" w:type="dxa"/>
            <w:shd w:val="clear" w:color="auto" w:fill="B6DDE8" w:themeFill="accent5" w:themeFillTint="66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53.74%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79" w:type="dxa"/>
            <w:shd w:val="clear" w:color="auto" w:fill="F1F1F1" w:themeFill="background1" w:themeFillShade="F2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Times New Roman"/>
                <w:kern w:val="0"/>
                <w:szCs w:val="21"/>
              </w:rPr>
            </w:pPr>
            <w:r>
              <w:rPr>
                <w:rFonts w:hint="eastAsia" w:ascii="宋体" w:hAnsi="宋体" w:eastAsia="Times New Roman"/>
                <w:kern w:val="0"/>
                <w:szCs w:val="21"/>
              </w:rPr>
              <w:t>温州市</w:t>
            </w:r>
          </w:p>
        </w:tc>
        <w:tc>
          <w:tcPr>
            <w:tcW w:w="981" w:type="dxa"/>
            <w:shd w:val="clear" w:color="auto" w:fill="F1F1F1" w:themeFill="background1" w:themeFillShade="F2"/>
            <w:tcMar>
              <w:left w:w="0" w:type="dxa"/>
              <w:right w:w="0" w:type="dxa"/>
            </w:tcMar>
            <w:vAlign w:val="bottom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zCs w:val="21"/>
              </w:rPr>
            </w:pPr>
            <w:r>
              <w:rPr>
                <w:rFonts w:cs="Times New Roman" w:asciiTheme="minorEastAsia" w:hAnsiTheme="minorEastAsia" w:eastAsiaTheme="minorEastAsia"/>
                <w:szCs w:val="21"/>
              </w:rPr>
              <w:t>252</w:t>
            </w:r>
          </w:p>
        </w:tc>
        <w:tc>
          <w:tcPr>
            <w:tcW w:w="1711" w:type="dxa"/>
            <w:shd w:val="clear" w:color="auto" w:fill="F1F1F1" w:themeFill="background1" w:themeFillShade="F2"/>
            <w:tcMar>
              <w:left w:w="0" w:type="dxa"/>
              <w:right w:w="0" w:type="dxa"/>
            </w:tcMar>
            <w:vAlign w:val="bottom"/>
          </w:tcPr>
          <w:p>
            <w:pPr>
              <w:jc w:val="center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t>75</w:t>
            </w:r>
          </w:p>
        </w:tc>
        <w:tc>
          <w:tcPr>
            <w:tcW w:w="2442" w:type="dxa"/>
            <w:shd w:val="clear" w:color="auto" w:fill="F1F1F1" w:themeFill="background1" w:themeFillShade="F2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29.76%</w:t>
            </w:r>
          </w:p>
        </w:tc>
        <w:tc>
          <w:tcPr>
            <w:tcW w:w="2199" w:type="dxa"/>
            <w:shd w:val="clear" w:color="auto" w:fill="F1F1F1" w:themeFill="background1" w:themeFillShade="F2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2.52%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79" w:type="dxa"/>
            <w:shd w:val="clear" w:color="auto" w:fill="B6DDE8" w:themeFill="accent5" w:themeFillTint="66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Times New Roman"/>
                <w:kern w:val="0"/>
                <w:szCs w:val="21"/>
              </w:rPr>
            </w:pPr>
            <w:r>
              <w:rPr>
                <w:rFonts w:hint="eastAsia" w:ascii="宋体" w:hAnsi="宋体" w:eastAsia="Times New Roman"/>
                <w:kern w:val="0"/>
                <w:szCs w:val="21"/>
              </w:rPr>
              <w:t>嘉兴市</w:t>
            </w:r>
          </w:p>
        </w:tc>
        <w:tc>
          <w:tcPr>
            <w:tcW w:w="981" w:type="dxa"/>
            <w:shd w:val="clear" w:color="auto" w:fill="B6DDE8" w:themeFill="accent5" w:themeFillTint="66"/>
            <w:tcMar>
              <w:left w:w="0" w:type="dxa"/>
              <w:right w:w="0" w:type="dxa"/>
            </w:tcMar>
            <w:vAlign w:val="bottom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zCs w:val="21"/>
              </w:rPr>
            </w:pPr>
            <w:r>
              <w:rPr>
                <w:rFonts w:cs="Times New Roman" w:asciiTheme="minorEastAsia" w:hAnsiTheme="minorEastAsia" w:eastAsiaTheme="minorEastAsia"/>
                <w:szCs w:val="21"/>
              </w:rPr>
              <w:t>218</w:t>
            </w:r>
          </w:p>
        </w:tc>
        <w:tc>
          <w:tcPr>
            <w:tcW w:w="1711" w:type="dxa"/>
            <w:shd w:val="clear" w:color="auto" w:fill="B6DDE8" w:themeFill="accent5" w:themeFillTint="66"/>
            <w:tcMar>
              <w:left w:w="0" w:type="dxa"/>
              <w:right w:w="0" w:type="dxa"/>
            </w:tcMar>
            <w:vAlign w:val="bottom"/>
          </w:tcPr>
          <w:p>
            <w:pPr>
              <w:jc w:val="center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t>118</w:t>
            </w:r>
          </w:p>
        </w:tc>
        <w:tc>
          <w:tcPr>
            <w:tcW w:w="2442" w:type="dxa"/>
            <w:shd w:val="clear" w:color="auto" w:fill="B6DDE8" w:themeFill="accent5" w:themeFillTint="66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54.13%</w:t>
            </w:r>
          </w:p>
        </w:tc>
        <w:tc>
          <w:tcPr>
            <w:tcW w:w="2199" w:type="dxa"/>
            <w:shd w:val="clear" w:color="auto" w:fill="B6DDE8" w:themeFill="accent5" w:themeFillTint="66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3.96%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79" w:type="dxa"/>
            <w:shd w:val="clear" w:color="auto" w:fill="F1F1F1" w:themeFill="background1" w:themeFillShade="F2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Times New Roman"/>
                <w:kern w:val="0"/>
                <w:szCs w:val="21"/>
              </w:rPr>
            </w:pPr>
            <w:r>
              <w:rPr>
                <w:rFonts w:hint="eastAsia" w:ascii="宋体" w:hAnsi="宋体" w:eastAsia="Times New Roman"/>
                <w:kern w:val="0"/>
                <w:szCs w:val="21"/>
              </w:rPr>
              <w:t>湖州市</w:t>
            </w:r>
          </w:p>
        </w:tc>
        <w:tc>
          <w:tcPr>
            <w:tcW w:w="981" w:type="dxa"/>
            <w:shd w:val="clear" w:color="auto" w:fill="F1F1F1" w:themeFill="background1" w:themeFillShade="F2"/>
            <w:tcMar>
              <w:left w:w="0" w:type="dxa"/>
              <w:right w:w="0" w:type="dxa"/>
            </w:tcMar>
            <w:vAlign w:val="bottom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zCs w:val="21"/>
              </w:rPr>
            </w:pPr>
            <w:r>
              <w:rPr>
                <w:rFonts w:cs="Times New Roman" w:asciiTheme="minorEastAsia" w:hAnsiTheme="minorEastAsia" w:eastAsiaTheme="minorEastAsia"/>
                <w:szCs w:val="21"/>
              </w:rPr>
              <w:t>148</w:t>
            </w:r>
          </w:p>
        </w:tc>
        <w:tc>
          <w:tcPr>
            <w:tcW w:w="1711" w:type="dxa"/>
            <w:shd w:val="clear" w:color="auto" w:fill="F1F1F1" w:themeFill="background1" w:themeFillShade="F2"/>
            <w:tcMar>
              <w:left w:w="0" w:type="dxa"/>
              <w:right w:w="0" w:type="dxa"/>
            </w:tcMar>
            <w:vAlign w:val="bottom"/>
          </w:tcPr>
          <w:p>
            <w:pPr>
              <w:jc w:val="center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t>61</w:t>
            </w:r>
          </w:p>
        </w:tc>
        <w:tc>
          <w:tcPr>
            <w:tcW w:w="2442" w:type="dxa"/>
            <w:shd w:val="clear" w:color="auto" w:fill="F1F1F1" w:themeFill="background1" w:themeFillShade="F2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41.22%</w:t>
            </w:r>
          </w:p>
        </w:tc>
        <w:tc>
          <w:tcPr>
            <w:tcW w:w="2199" w:type="dxa"/>
            <w:shd w:val="clear" w:color="auto" w:fill="F1F1F1" w:themeFill="background1" w:themeFillShade="F2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2.05%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79" w:type="dxa"/>
            <w:shd w:val="clear" w:color="auto" w:fill="B6DDE8" w:themeFill="accent5" w:themeFillTint="66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Times New Roman"/>
                <w:kern w:val="0"/>
                <w:szCs w:val="21"/>
              </w:rPr>
            </w:pPr>
            <w:r>
              <w:rPr>
                <w:rFonts w:hint="eastAsia" w:ascii="宋体" w:hAnsi="宋体" w:eastAsia="Times New Roman"/>
                <w:kern w:val="0"/>
                <w:szCs w:val="21"/>
              </w:rPr>
              <w:t>绍兴市</w:t>
            </w:r>
          </w:p>
        </w:tc>
        <w:tc>
          <w:tcPr>
            <w:tcW w:w="981" w:type="dxa"/>
            <w:shd w:val="clear" w:color="auto" w:fill="B6DDE8" w:themeFill="accent5" w:themeFillTint="66"/>
            <w:tcMar>
              <w:left w:w="0" w:type="dxa"/>
              <w:right w:w="0" w:type="dxa"/>
            </w:tcMar>
            <w:vAlign w:val="bottom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zCs w:val="21"/>
              </w:rPr>
            </w:pPr>
            <w:r>
              <w:rPr>
                <w:rFonts w:cs="Times New Roman" w:asciiTheme="minorEastAsia" w:hAnsiTheme="minorEastAsia" w:eastAsiaTheme="minorEastAsia"/>
                <w:szCs w:val="21"/>
              </w:rPr>
              <w:t>315</w:t>
            </w:r>
          </w:p>
        </w:tc>
        <w:tc>
          <w:tcPr>
            <w:tcW w:w="1711" w:type="dxa"/>
            <w:shd w:val="clear" w:color="auto" w:fill="B6DDE8" w:themeFill="accent5" w:themeFillTint="66"/>
            <w:tcMar>
              <w:left w:w="0" w:type="dxa"/>
              <w:right w:w="0" w:type="dxa"/>
            </w:tcMar>
            <w:vAlign w:val="bottom"/>
          </w:tcPr>
          <w:p>
            <w:pPr>
              <w:jc w:val="center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t>108</w:t>
            </w:r>
          </w:p>
        </w:tc>
        <w:tc>
          <w:tcPr>
            <w:tcW w:w="2442" w:type="dxa"/>
            <w:shd w:val="clear" w:color="auto" w:fill="B6DDE8" w:themeFill="accent5" w:themeFillTint="66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34.29%</w:t>
            </w:r>
          </w:p>
        </w:tc>
        <w:tc>
          <w:tcPr>
            <w:tcW w:w="2199" w:type="dxa"/>
            <w:shd w:val="clear" w:color="auto" w:fill="B6DDE8" w:themeFill="accent5" w:themeFillTint="66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3.63%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79" w:type="dxa"/>
            <w:shd w:val="clear" w:color="auto" w:fill="F1F1F1" w:themeFill="background1" w:themeFillShade="F2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Times New Roman"/>
                <w:kern w:val="0"/>
                <w:szCs w:val="21"/>
              </w:rPr>
            </w:pPr>
            <w:r>
              <w:rPr>
                <w:rFonts w:hint="eastAsia" w:ascii="宋体" w:hAnsi="宋体" w:eastAsia="Times New Roman"/>
                <w:kern w:val="0"/>
                <w:szCs w:val="21"/>
              </w:rPr>
              <w:t>金华市</w:t>
            </w:r>
          </w:p>
        </w:tc>
        <w:tc>
          <w:tcPr>
            <w:tcW w:w="981" w:type="dxa"/>
            <w:shd w:val="clear" w:color="auto" w:fill="F1F1F1" w:themeFill="background1" w:themeFillShade="F2"/>
            <w:tcMar>
              <w:left w:w="0" w:type="dxa"/>
              <w:right w:w="0" w:type="dxa"/>
            </w:tcMar>
            <w:vAlign w:val="bottom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zCs w:val="21"/>
              </w:rPr>
            </w:pPr>
            <w:r>
              <w:rPr>
                <w:rFonts w:cs="Times New Roman" w:asciiTheme="minorEastAsia" w:hAnsiTheme="minorEastAsia" w:eastAsiaTheme="minorEastAsia"/>
                <w:szCs w:val="21"/>
              </w:rPr>
              <w:t>244</w:t>
            </w:r>
          </w:p>
        </w:tc>
        <w:tc>
          <w:tcPr>
            <w:tcW w:w="1711" w:type="dxa"/>
            <w:shd w:val="clear" w:color="auto" w:fill="F1F1F1" w:themeFill="background1" w:themeFillShade="F2"/>
            <w:tcMar>
              <w:left w:w="0" w:type="dxa"/>
              <w:right w:w="0" w:type="dxa"/>
            </w:tcMar>
            <w:vAlign w:val="bottom"/>
          </w:tcPr>
          <w:p>
            <w:pPr>
              <w:jc w:val="center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t>100</w:t>
            </w:r>
          </w:p>
        </w:tc>
        <w:tc>
          <w:tcPr>
            <w:tcW w:w="2442" w:type="dxa"/>
            <w:shd w:val="clear" w:color="auto" w:fill="F1F1F1" w:themeFill="background1" w:themeFillShade="F2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40.98%</w:t>
            </w:r>
          </w:p>
        </w:tc>
        <w:tc>
          <w:tcPr>
            <w:tcW w:w="2199" w:type="dxa"/>
            <w:shd w:val="clear" w:color="auto" w:fill="F1F1F1" w:themeFill="background1" w:themeFillShade="F2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3.36%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79" w:type="dxa"/>
            <w:shd w:val="clear" w:color="auto" w:fill="B6DDE8" w:themeFill="accent5" w:themeFillTint="66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Times New Roman"/>
                <w:kern w:val="0"/>
                <w:szCs w:val="21"/>
              </w:rPr>
            </w:pPr>
            <w:r>
              <w:rPr>
                <w:rFonts w:hint="eastAsia" w:ascii="宋体" w:hAnsi="宋体" w:eastAsia="Times New Roman"/>
                <w:kern w:val="0"/>
                <w:szCs w:val="21"/>
              </w:rPr>
              <w:t>衢州市</w:t>
            </w:r>
          </w:p>
        </w:tc>
        <w:tc>
          <w:tcPr>
            <w:tcW w:w="981" w:type="dxa"/>
            <w:shd w:val="clear" w:color="auto" w:fill="B6DDE8" w:themeFill="accent5" w:themeFillTint="66"/>
            <w:tcMar>
              <w:left w:w="0" w:type="dxa"/>
              <w:right w:w="0" w:type="dxa"/>
            </w:tcMar>
            <w:vAlign w:val="bottom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zCs w:val="21"/>
              </w:rPr>
            </w:pPr>
            <w:r>
              <w:rPr>
                <w:rFonts w:cs="Times New Roman" w:asciiTheme="minorEastAsia" w:hAnsiTheme="minorEastAsia" w:eastAsiaTheme="minorEastAsia"/>
                <w:szCs w:val="21"/>
              </w:rPr>
              <w:t>127</w:t>
            </w:r>
          </w:p>
        </w:tc>
        <w:tc>
          <w:tcPr>
            <w:tcW w:w="1711" w:type="dxa"/>
            <w:shd w:val="clear" w:color="auto" w:fill="B6DDE8" w:themeFill="accent5" w:themeFillTint="66"/>
            <w:tcMar>
              <w:left w:w="0" w:type="dxa"/>
              <w:right w:w="0" w:type="dxa"/>
            </w:tcMar>
            <w:vAlign w:val="bottom"/>
          </w:tcPr>
          <w:p>
            <w:pPr>
              <w:jc w:val="center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t>25</w:t>
            </w:r>
          </w:p>
        </w:tc>
        <w:tc>
          <w:tcPr>
            <w:tcW w:w="2442" w:type="dxa"/>
            <w:shd w:val="clear" w:color="auto" w:fill="B6DDE8" w:themeFill="accent5" w:themeFillTint="66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19.69%</w:t>
            </w:r>
          </w:p>
        </w:tc>
        <w:tc>
          <w:tcPr>
            <w:tcW w:w="2199" w:type="dxa"/>
            <w:shd w:val="clear" w:color="auto" w:fill="B6DDE8" w:themeFill="accent5" w:themeFillTint="66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0.84%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79" w:type="dxa"/>
            <w:shd w:val="clear" w:color="auto" w:fill="F1F1F1" w:themeFill="background1" w:themeFillShade="F2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Times New Roman"/>
                <w:kern w:val="0"/>
                <w:szCs w:val="21"/>
              </w:rPr>
            </w:pPr>
            <w:r>
              <w:rPr>
                <w:rFonts w:hint="eastAsia" w:ascii="宋体" w:hAnsi="宋体" w:eastAsia="Times New Roman"/>
                <w:kern w:val="0"/>
                <w:szCs w:val="21"/>
              </w:rPr>
              <w:t>舟山市</w:t>
            </w:r>
          </w:p>
        </w:tc>
        <w:tc>
          <w:tcPr>
            <w:tcW w:w="981" w:type="dxa"/>
            <w:shd w:val="clear" w:color="auto" w:fill="F1F1F1" w:themeFill="background1" w:themeFillShade="F2"/>
            <w:tcMar>
              <w:left w:w="0" w:type="dxa"/>
              <w:right w:w="0" w:type="dxa"/>
            </w:tcMar>
            <w:vAlign w:val="bottom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zCs w:val="21"/>
              </w:rPr>
            </w:pPr>
            <w:r>
              <w:rPr>
                <w:rFonts w:cs="Times New Roman" w:asciiTheme="minorEastAsia" w:hAnsiTheme="minorEastAsia" w:eastAsiaTheme="minorEastAsia"/>
                <w:szCs w:val="21"/>
              </w:rPr>
              <w:t>41</w:t>
            </w:r>
          </w:p>
        </w:tc>
        <w:tc>
          <w:tcPr>
            <w:tcW w:w="1711" w:type="dxa"/>
            <w:shd w:val="clear" w:color="auto" w:fill="F1F1F1" w:themeFill="background1" w:themeFillShade="F2"/>
            <w:tcMar>
              <w:left w:w="0" w:type="dxa"/>
              <w:right w:w="0" w:type="dxa"/>
            </w:tcMar>
            <w:vAlign w:val="bottom"/>
          </w:tcPr>
          <w:p>
            <w:pPr>
              <w:jc w:val="center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t>10</w:t>
            </w:r>
          </w:p>
        </w:tc>
        <w:tc>
          <w:tcPr>
            <w:tcW w:w="2442" w:type="dxa"/>
            <w:shd w:val="clear" w:color="auto" w:fill="F1F1F1" w:themeFill="background1" w:themeFillShade="F2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24.39%</w:t>
            </w:r>
          </w:p>
        </w:tc>
        <w:tc>
          <w:tcPr>
            <w:tcW w:w="2199" w:type="dxa"/>
            <w:shd w:val="clear" w:color="auto" w:fill="F1F1F1" w:themeFill="background1" w:themeFillShade="F2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0.34%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79" w:type="dxa"/>
            <w:shd w:val="clear" w:color="auto" w:fill="B6DDE8" w:themeFill="accent5" w:themeFillTint="66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Times New Roman"/>
                <w:kern w:val="0"/>
                <w:szCs w:val="21"/>
              </w:rPr>
            </w:pPr>
            <w:r>
              <w:rPr>
                <w:rFonts w:hint="eastAsia" w:ascii="宋体" w:hAnsi="宋体" w:eastAsia="Times New Roman"/>
                <w:kern w:val="0"/>
                <w:szCs w:val="21"/>
              </w:rPr>
              <w:t>台州市</w:t>
            </w:r>
          </w:p>
        </w:tc>
        <w:tc>
          <w:tcPr>
            <w:tcW w:w="981" w:type="dxa"/>
            <w:shd w:val="clear" w:color="auto" w:fill="B6DDE8" w:themeFill="accent5" w:themeFillTint="66"/>
            <w:tcMar>
              <w:left w:w="0" w:type="dxa"/>
              <w:right w:w="0" w:type="dxa"/>
            </w:tcMar>
            <w:vAlign w:val="bottom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zCs w:val="21"/>
              </w:rPr>
            </w:pPr>
            <w:r>
              <w:rPr>
                <w:rFonts w:cs="Times New Roman" w:asciiTheme="minorEastAsia" w:hAnsiTheme="minorEastAsia" w:eastAsiaTheme="minorEastAsia"/>
                <w:szCs w:val="21"/>
              </w:rPr>
              <w:t>252</w:t>
            </w:r>
          </w:p>
        </w:tc>
        <w:tc>
          <w:tcPr>
            <w:tcW w:w="1711" w:type="dxa"/>
            <w:shd w:val="clear" w:color="auto" w:fill="B6DDE8" w:themeFill="accent5" w:themeFillTint="66"/>
            <w:tcMar>
              <w:left w:w="0" w:type="dxa"/>
              <w:right w:w="0" w:type="dxa"/>
            </w:tcMar>
            <w:vAlign w:val="bottom"/>
          </w:tcPr>
          <w:p>
            <w:pPr>
              <w:jc w:val="center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t>75</w:t>
            </w:r>
          </w:p>
        </w:tc>
        <w:tc>
          <w:tcPr>
            <w:tcW w:w="2442" w:type="dxa"/>
            <w:shd w:val="clear" w:color="auto" w:fill="B6DDE8" w:themeFill="accent5" w:themeFillTint="66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29.76%</w:t>
            </w:r>
          </w:p>
        </w:tc>
        <w:tc>
          <w:tcPr>
            <w:tcW w:w="2199" w:type="dxa"/>
            <w:shd w:val="clear" w:color="auto" w:fill="B6DDE8" w:themeFill="accent5" w:themeFillTint="66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2.52%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79" w:type="dxa"/>
            <w:shd w:val="clear" w:color="auto" w:fill="F1F1F1" w:themeFill="background1" w:themeFillShade="F2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Times New Roman"/>
                <w:kern w:val="0"/>
                <w:szCs w:val="21"/>
              </w:rPr>
            </w:pPr>
            <w:r>
              <w:rPr>
                <w:rFonts w:hint="eastAsia" w:ascii="宋体" w:hAnsi="宋体" w:eastAsia="Times New Roman"/>
                <w:kern w:val="0"/>
                <w:szCs w:val="21"/>
              </w:rPr>
              <w:t>丽水市</w:t>
            </w:r>
          </w:p>
        </w:tc>
        <w:tc>
          <w:tcPr>
            <w:tcW w:w="981" w:type="dxa"/>
            <w:shd w:val="clear" w:color="auto" w:fill="F1F1F1" w:themeFill="background1" w:themeFillShade="F2"/>
            <w:tcMar>
              <w:left w:w="0" w:type="dxa"/>
              <w:right w:w="0" w:type="dxa"/>
            </w:tcMar>
            <w:vAlign w:val="bottom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zCs w:val="21"/>
              </w:rPr>
            </w:pPr>
            <w:r>
              <w:rPr>
                <w:rFonts w:cs="Times New Roman" w:asciiTheme="minorEastAsia" w:hAnsiTheme="minorEastAsia" w:eastAsiaTheme="minorEastAsia"/>
                <w:szCs w:val="21"/>
              </w:rPr>
              <w:t>90</w:t>
            </w:r>
          </w:p>
        </w:tc>
        <w:tc>
          <w:tcPr>
            <w:tcW w:w="1711" w:type="dxa"/>
            <w:shd w:val="clear" w:color="auto" w:fill="F1F1F1" w:themeFill="background1" w:themeFillShade="F2"/>
            <w:tcMar>
              <w:left w:w="0" w:type="dxa"/>
              <w:right w:w="0" w:type="dxa"/>
            </w:tcMar>
            <w:vAlign w:val="bottom"/>
          </w:tcPr>
          <w:p>
            <w:pPr>
              <w:jc w:val="center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t>30</w:t>
            </w:r>
          </w:p>
        </w:tc>
        <w:tc>
          <w:tcPr>
            <w:tcW w:w="2442" w:type="dxa"/>
            <w:shd w:val="clear" w:color="auto" w:fill="F1F1F1" w:themeFill="background1" w:themeFillShade="F2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33.33%</w:t>
            </w:r>
          </w:p>
        </w:tc>
        <w:tc>
          <w:tcPr>
            <w:tcW w:w="2199" w:type="dxa"/>
            <w:shd w:val="clear" w:color="auto" w:fill="F1F1F1" w:themeFill="background1" w:themeFillShade="F2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1.01%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79" w:type="dxa"/>
            <w:shd w:val="clear" w:color="auto" w:fill="B6DDE8" w:themeFill="accent5" w:themeFillTint="66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Times New Roman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  <w:lang w:eastAsia="zh-CN"/>
              </w:rPr>
              <w:t>上海市</w:t>
            </w:r>
          </w:p>
        </w:tc>
        <w:tc>
          <w:tcPr>
            <w:tcW w:w="981" w:type="dxa"/>
            <w:shd w:val="clear" w:color="auto" w:fill="B6DDE8" w:themeFill="accent5" w:themeFillTint="66"/>
            <w:tcMar>
              <w:left w:w="0" w:type="dxa"/>
              <w:right w:w="0" w:type="dxa"/>
            </w:tcMar>
            <w:vAlign w:val="bottom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szCs w:val="21"/>
                <w:lang w:val="en-US" w:eastAsia="zh-CN"/>
              </w:rPr>
              <w:t>0</w:t>
            </w:r>
          </w:p>
        </w:tc>
        <w:tc>
          <w:tcPr>
            <w:tcW w:w="1711" w:type="dxa"/>
            <w:shd w:val="clear" w:color="auto" w:fill="B6DDE8" w:themeFill="accent5" w:themeFillTint="66"/>
            <w:tcMar>
              <w:left w:w="0" w:type="dxa"/>
              <w:right w:w="0" w:type="dxa"/>
            </w:tcMar>
            <w:vAlign w:val="bottom"/>
          </w:tcPr>
          <w:p>
            <w:pPr>
              <w:jc w:val="center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t>107</w:t>
            </w:r>
          </w:p>
        </w:tc>
        <w:tc>
          <w:tcPr>
            <w:tcW w:w="2442" w:type="dxa"/>
            <w:shd w:val="clear" w:color="auto" w:fill="B6DDE8" w:themeFill="accent5" w:themeFillTint="66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107%</w:t>
            </w:r>
          </w:p>
        </w:tc>
        <w:tc>
          <w:tcPr>
            <w:tcW w:w="2199" w:type="dxa"/>
            <w:shd w:val="clear" w:color="auto" w:fill="B6DDE8" w:themeFill="accent5" w:themeFillTint="66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3.59%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79" w:type="dxa"/>
            <w:shd w:val="clear" w:color="auto" w:fill="F1F1F1" w:themeFill="background1" w:themeFillShade="F2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/>
                <w:kern w:val="0"/>
                <w:szCs w:val="21"/>
                <w:lang w:eastAsia="zh-CN"/>
              </w:rPr>
            </w:pPr>
            <w:bookmarkStart w:id="8" w:name="_Toc19509"/>
            <w:r>
              <w:rPr>
                <w:rFonts w:hint="eastAsia" w:ascii="宋体" w:hAnsi="宋体"/>
                <w:kern w:val="0"/>
                <w:szCs w:val="21"/>
                <w:lang w:eastAsia="zh-CN"/>
              </w:rPr>
              <w:t>其他省市</w:t>
            </w:r>
          </w:p>
        </w:tc>
        <w:tc>
          <w:tcPr>
            <w:tcW w:w="981" w:type="dxa"/>
            <w:shd w:val="clear" w:color="auto" w:fill="F1F1F1" w:themeFill="background1" w:themeFillShade="F2"/>
            <w:tcMar>
              <w:left w:w="0" w:type="dxa"/>
              <w:right w:w="0" w:type="dxa"/>
            </w:tcMar>
            <w:vAlign w:val="bottom"/>
          </w:tcPr>
          <w:p>
            <w:pPr>
              <w:jc w:val="center"/>
              <w:rPr>
                <w:rFonts w:hint="default" w:cs="Times New Roman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cs="Times New Roman" w:asciiTheme="minorEastAsia" w:hAnsiTheme="minorEastAsia" w:eastAsiaTheme="minorEastAsia"/>
                <w:szCs w:val="21"/>
                <w:lang w:val="en-US" w:eastAsia="zh-CN"/>
              </w:rPr>
              <w:t>965</w:t>
            </w:r>
          </w:p>
        </w:tc>
        <w:tc>
          <w:tcPr>
            <w:tcW w:w="1711" w:type="dxa"/>
            <w:shd w:val="clear" w:color="auto" w:fill="F1F1F1" w:themeFill="background1" w:themeFillShade="F2"/>
            <w:tcMar>
              <w:left w:w="0" w:type="dxa"/>
              <w:right w:w="0" w:type="dxa"/>
            </w:tcMar>
            <w:vAlign w:val="bottom"/>
          </w:tcPr>
          <w:p>
            <w:pPr>
              <w:jc w:val="center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t>209</w:t>
            </w:r>
          </w:p>
        </w:tc>
        <w:tc>
          <w:tcPr>
            <w:tcW w:w="2442" w:type="dxa"/>
            <w:shd w:val="clear" w:color="auto" w:fill="F1F1F1" w:themeFill="background1" w:themeFillShade="F2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21.66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%</w:t>
            </w:r>
          </w:p>
        </w:tc>
        <w:tc>
          <w:tcPr>
            <w:tcW w:w="2199" w:type="dxa"/>
            <w:shd w:val="clear" w:color="auto" w:fill="F1F1F1" w:themeFill="background1" w:themeFillShade="F2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7.01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%</w:t>
            </w:r>
          </w:p>
        </w:tc>
      </w:tr>
    </w:tbl>
    <w:p>
      <w:pPr>
        <w:pStyle w:val="5"/>
        <w:spacing w:before="0" w:after="0" w:line="360" w:lineRule="auto"/>
        <w:ind w:firstLine="472" w:firstLineChars="196"/>
        <w:rPr>
          <w:rFonts w:hint="eastAsia" w:ascii="Times New Roman" w:hAnsi="Times New Roman" w:cs="Times New Roman"/>
          <w:sz w:val="24"/>
          <w:szCs w:val="24"/>
        </w:rPr>
      </w:pPr>
    </w:p>
    <w:p>
      <w:pPr>
        <w:pStyle w:val="5"/>
        <w:spacing w:before="0" w:after="0" w:line="360" w:lineRule="auto"/>
        <w:ind w:firstLine="472" w:firstLineChars="196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6．就业特点</w:t>
      </w:r>
      <w:bookmarkEnd w:id="8"/>
    </w:p>
    <w:p>
      <w:pPr>
        <w:pStyle w:val="23"/>
        <w:rPr>
          <w:rFonts w:hAnsi="宋体" w:eastAsia="宋体" w:cs="Times New Roman"/>
        </w:rPr>
      </w:pPr>
      <w:r>
        <w:rPr>
          <w:rFonts w:hint="eastAsia" w:hAnsi="宋体" w:eastAsia="宋体" w:cs="Times New Roman"/>
          <w:lang w:eastAsia="zh-CN"/>
        </w:rPr>
        <w:t>（</w:t>
      </w:r>
      <w:r>
        <w:rPr>
          <w:rFonts w:hint="eastAsia" w:hAnsi="宋体" w:eastAsia="宋体" w:cs="Times New Roman"/>
          <w:lang w:val="en-US" w:eastAsia="zh-CN"/>
        </w:rPr>
        <w:t>1</w:t>
      </w:r>
      <w:r>
        <w:rPr>
          <w:rFonts w:hint="eastAsia" w:hAnsi="宋体" w:eastAsia="宋体" w:cs="Times New Roman"/>
          <w:lang w:eastAsia="zh-CN"/>
        </w:rPr>
        <w:t>）</w:t>
      </w:r>
      <w:r>
        <w:rPr>
          <w:rFonts w:hint="eastAsia" w:hAnsi="宋体" w:eastAsia="宋体" w:cs="Times New Roman"/>
        </w:rPr>
        <w:t>就业</w:t>
      </w:r>
      <w:r>
        <w:rPr>
          <w:rFonts w:hint="eastAsia" w:hAnsi="宋体" w:eastAsia="宋体" w:cs="Times New Roman"/>
          <w:lang w:eastAsia="zh-CN"/>
        </w:rPr>
        <w:t>形势保持</w:t>
      </w:r>
      <w:r>
        <w:rPr>
          <w:rFonts w:hint="eastAsia" w:hAnsi="宋体" w:eastAsia="宋体" w:cs="Times New Roman"/>
        </w:rPr>
        <w:t>良好。</w:t>
      </w:r>
      <w:r>
        <w:rPr>
          <w:rFonts w:ascii="Times New Roman" w:hAnsi="Times New Roman" w:eastAsia="宋体" w:cs="Times New Roman"/>
        </w:rPr>
        <w:t>201</w:t>
      </w:r>
      <w:r>
        <w:rPr>
          <w:rFonts w:hint="eastAsia" w:ascii="Times New Roman" w:hAnsi="Times New Roman" w:eastAsia="宋体" w:cs="Times New Roman"/>
        </w:rPr>
        <w:t>9</w:t>
      </w:r>
      <w:r>
        <w:rPr>
          <w:rFonts w:hint="eastAsia" w:hAnsi="宋体" w:eastAsia="宋体" w:cs="Times New Roman"/>
        </w:rPr>
        <w:t>届毕业生就业率为</w:t>
      </w:r>
      <w:r>
        <w:rPr>
          <w:rFonts w:ascii="Times New Roman" w:hAnsi="Times New Roman" w:eastAsia="宋体" w:cs="Times New Roman"/>
        </w:rPr>
        <w:t>97.</w:t>
      </w:r>
      <w:r>
        <w:rPr>
          <w:rFonts w:hint="eastAsia" w:ascii="Times New Roman" w:hAnsi="Times New Roman" w:eastAsia="宋体" w:cs="Times New Roman"/>
        </w:rPr>
        <w:t>63</w:t>
      </w:r>
      <w:r>
        <w:rPr>
          <w:rFonts w:ascii="Times New Roman" w:hAnsi="Times New Roman" w:eastAsia="宋体" w:cs="Times New Roman"/>
        </w:rPr>
        <w:t>%</w:t>
      </w:r>
      <w:r>
        <w:rPr>
          <w:rFonts w:hint="eastAsia" w:hAnsi="宋体" w:eastAsia="宋体" w:cs="Times New Roman"/>
        </w:rPr>
        <w:t>，就业率依然高位运行，保持良好的增长的态势，其中</w:t>
      </w:r>
      <w:r>
        <w:rPr>
          <w:rFonts w:hint="eastAsia" w:eastAsia="Times New Roman"/>
          <w:kern w:val="0"/>
        </w:rPr>
        <w:t>材料与化学工程学院</w:t>
      </w:r>
      <w:r>
        <w:rPr>
          <w:rFonts w:hint="eastAsia" w:eastAsia="宋体"/>
          <w:kern w:val="0"/>
          <w:lang w:eastAsia="zh-CN"/>
        </w:rPr>
        <w:t>、</w:t>
      </w:r>
      <w:r>
        <w:rPr>
          <w:rFonts w:hint="eastAsia" w:ascii="宋体" w:hAnsi="宋体" w:eastAsia="Times New Roman"/>
          <w:kern w:val="0"/>
        </w:rPr>
        <w:t>建筑与交通工程学院</w:t>
      </w:r>
      <w:r>
        <w:rPr>
          <w:rFonts w:hint="eastAsia" w:ascii="宋体" w:hAnsi="宋体" w:eastAsia="宋体"/>
          <w:kern w:val="0"/>
          <w:lang w:eastAsia="zh-CN"/>
        </w:rPr>
        <w:t>、</w:t>
      </w:r>
      <w:r>
        <w:rPr>
          <w:rFonts w:hint="eastAsia" w:ascii="宋体" w:hAnsi="宋体" w:eastAsia="Times New Roman"/>
          <w:kern w:val="0"/>
        </w:rPr>
        <w:t>经济与管理学院</w:t>
      </w:r>
      <w:r>
        <w:rPr>
          <w:rFonts w:hint="eastAsia" w:hAnsi="宋体" w:eastAsia="宋体" w:cs="Times New Roman"/>
        </w:rPr>
        <w:t>就业率高达</w:t>
      </w:r>
      <w:r>
        <w:rPr>
          <w:rFonts w:hint="eastAsia" w:ascii="Times New Roman" w:hAnsi="Times New Roman" w:eastAsia="宋体" w:cs="Times New Roman"/>
        </w:rPr>
        <w:t>99</w:t>
      </w:r>
      <w:r>
        <w:rPr>
          <w:rFonts w:hint="eastAsia" w:ascii="Times New Roman" w:hAnsi="Times New Roman" w:eastAsia="宋体" w:cs="Times New Roman"/>
          <w:lang w:val="en-US" w:eastAsia="zh-CN"/>
        </w:rPr>
        <w:t>%</w:t>
      </w:r>
      <w:r>
        <w:rPr>
          <w:rFonts w:hint="eastAsia" w:ascii="Times New Roman" w:hAnsi="Times New Roman" w:eastAsia="宋体" w:cs="Times New Roman"/>
          <w:lang w:eastAsia="zh-CN"/>
        </w:rPr>
        <w:t>以上</w:t>
      </w:r>
      <w:r>
        <w:rPr>
          <w:rFonts w:hint="eastAsia" w:hAnsi="宋体" w:eastAsia="宋体" w:cs="Times New Roman"/>
        </w:rPr>
        <w:t>，其他学院就业率均在</w:t>
      </w:r>
      <w:r>
        <w:rPr>
          <w:rFonts w:hint="eastAsia" w:ascii="Times New Roman" w:hAnsi="Times New Roman" w:eastAsia="宋体" w:cs="Times New Roman"/>
        </w:rPr>
        <w:t>95%</w:t>
      </w:r>
      <w:r>
        <w:rPr>
          <w:rFonts w:hint="eastAsia" w:hAnsi="宋体" w:eastAsia="宋体" w:cs="Times New Roman"/>
        </w:rPr>
        <w:t>以上。</w:t>
      </w:r>
    </w:p>
    <w:p>
      <w:pPr>
        <w:pStyle w:val="23"/>
        <w:rPr>
          <w:rFonts w:hint="eastAsia" w:ascii="宋体" w:hAnsi="宋体" w:eastAsia="宋体" w:cs="宋体"/>
        </w:rPr>
      </w:pPr>
      <w:r>
        <w:rPr>
          <w:rFonts w:hint="eastAsia" w:hAnsi="宋体" w:eastAsia="宋体" w:cs="Times New Roman"/>
          <w:lang w:eastAsia="zh-CN"/>
        </w:rPr>
        <w:t>（</w:t>
      </w:r>
      <w:r>
        <w:rPr>
          <w:rFonts w:hint="eastAsia" w:hAnsi="宋体" w:eastAsia="宋体" w:cs="Times New Roman"/>
          <w:lang w:val="en-US" w:eastAsia="zh-CN"/>
        </w:rPr>
        <w:t>2</w:t>
      </w:r>
      <w:r>
        <w:rPr>
          <w:rFonts w:hint="eastAsia" w:hAnsi="宋体" w:eastAsia="宋体" w:cs="Times New Roman"/>
          <w:lang w:eastAsia="zh-CN"/>
        </w:rPr>
        <w:t>）</w:t>
      </w:r>
      <w:r>
        <w:rPr>
          <w:rFonts w:hint="eastAsia" w:hAnsi="宋体" w:eastAsia="宋体" w:cs="Times New Roman"/>
        </w:rPr>
        <w:t>就业地域选择受经济发展影响较为显著。</w:t>
      </w:r>
      <w:r>
        <w:rPr>
          <w:rFonts w:hint="eastAsia" w:hAnsi="宋体" w:eastAsia="宋体" w:cs="Times New Roman"/>
          <w:lang w:eastAsia="zh-CN"/>
        </w:rPr>
        <w:t>近两年宁波经济发展较快，作为宁波高校毕业生，选择留甬就业人数越来越多</w:t>
      </w:r>
      <w:r>
        <w:rPr>
          <w:rFonts w:hint="eastAsia" w:hAnsi="宋体" w:eastAsia="宋体" w:cs="Times New Roman"/>
          <w:lang w:val="en-US" w:eastAsia="zh-CN"/>
        </w:rPr>
        <w:t>。</w:t>
      </w:r>
      <w:r>
        <w:rPr>
          <w:rFonts w:hint="eastAsia" w:hAnsi="宋体" w:eastAsia="宋体" w:cs="Times New Roman"/>
        </w:rPr>
        <w:t>从就业的地区看，大部分毕</w:t>
      </w:r>
      <w:r>
        <w:rPr>
          <w:rFonts w:hint="eastAsia" w:ascii="宋体" w:hAnsi="宋体" w:eastAsia="宋体" w:cs="宋体"/>
        </w:rPr>
        <w:t>业生选择在</w:t>
      </w:r>
      <w:r>
        <w:rPr>
          <w:rFonts w:hint="eastAsia" w:ascii="宋体" w:hAnsi="宋体" w:eastAsia="宋体" w:cs="宋体"/>
          <w:lang w:eastAsia="zh-CN"/>
        </w:rPr>
        <w:t>长三角经济发达城市就业</w:t>
      </w:r>
      <w:r>
        <w:rPr>
          <w:rFonts w:hint="eastAsia" w:ascii="宋体" w:hAnsi="宋体" w:eastAsia="宋体" w:cs="宋体"/>
        </w:rPr>
        <w:t>，</w:t>
      </w:r>
      <w:r>
        <w:rPr>
          <w:rFonts w:hint="eastAsia" w:ascii="宋体" w:hAnsi="宋体" w:eastAsia="宋体" w:cs="宋体"/>
          <w:lang w:eastAsia="zh-CN"/>
        </w:rPr>
        <w:t>去</w:t>
      </w:r>
      <w:r>
        <w:rPr>
          <w:rFonts w:hint="eastAsia" w:ascii="宋体" w:hAnsi="宋体" w:eastAsia="宋体" w:cs="宋体"/>
        </w:rPr>
        <w:t>经济相对落后的</w:t>
      </w:r>
      <w:r>
        <w:rPr>
          <w:rFonts w:hint="eastAsia" w:ascii="宋体" w:hAnsi="宋体" w:eastAsia="宋体" w:cs="宋体"/>
          <w:lang w:eastAsia="zh-CN"/>
        </w:rPr>
        <w:t>内陆</w:t>
      </w:r>
      <w:r>
        <w:rPr>
          <w:rFonts w:hint="eastAsia" w:ascii="宋体" w:hAnsi="宋体" w:eastAsia="宋体" w:cs="宋体"/>
        </w:rPr>
        <w:t>地区</w:t>
      </w:r>
      <w:r>
        <w:rPr>
          <w:rFonts w:hint="eastAsia" w:ascii="宋体" w:hAnsi="宋体" w:eastAsia="宋体" w:cs="宋体"/>
          <w:lang w:eastAsia="zh-CN"/>
        </w:rPr>
        <w:t>工作的毕业生很</w:t>
      </w:r>
      <w:r>
        <w:rPr>
          <w:rFonts w:hint="eastAsia" w:ascii="宋体" w:hAnsi="宋体" w:eastAsia="宋体" w:cs="宋体"/>
        </w:rPr>
        <w:t>少。</w:t>
      </w:r>
    </w:p>
    <w:p>
      <w:pPr>
        <w:pStyle w:val="23"/>
        <w:rPr>
          <w:rFonts w:hint="eastAsia" w:ascii="宋体" w:hAnsi="宋体" w:eastAsia="宋体" w:cs="宋体"/>
          <w:color w:val="000000"/>
          <w:sz w:val="24"/>
        </w:rPr>
      </w:pPr>
      <w:r>
        <w:rPr>
          <w:rFonts w:hint="eastAsia" w:ascii="宋体" w:hAnsi="宋体" w:eastAsia="宋体" w:cs="宋体"/>
          <w:sz w:val="24"/>
          <w:szCs w:val="20"/>
          <w:lang w:val="zh-CN"/>
        </w:rPr>
        <w:t>（</w:t>
      </w:r>
      <w:r>
        <w:rPr>
          <w:rFonts w:hint="eastAsia" w:ascii="宋体" w:hAnsi="宋体" w:eastAsia="宋体" w:cs="宋体"/>
          <w:sz w:val="24"/>
          <w:szCs w:val="20"/>
          <w:lang w:val="en-US" w:eastAsia="zh-CN"/>
        </w:rPr>
        <w:t>3</w:t>
      </w:r>
      <w:r>
        <w:rPr>
          <w:rFonts w:hint="eastAsia" w:ascii="宋体" w:hAnsi="宋体" w:eastAsia="宋体" w:cs="宋体"/>
          <w:sz w:val="24"/>
          <w:szCs w:val="20"/>
          <w:lang w:val="zh-CN"/>
        </w:rPr>
        <w:t>）继续深造人数越来越多。</w:t>
      </w:r>
      <w:r>
        <w:rPr>
          <w:rFonts w:hint="eastAsia" w:ascii="宋体" w:hAnsi="宋体" w:eastAsia="宋体" w:cs="宋体"/>
          <w:sz w:val="24"/>
          <w:szCs w:val="20"/>
          <w:lang w:val="en-US" w:eastAsia="zh-CN"/>
        </w:rPr>
        <w:t>2019年</w:t>
      </w:r>
      <w:r>
        <w:rPr>
          <w:rFonts w:hint="eastAsia" w:ascii="宋体" w:hAnsi="宋体" w:eastAsia="宋体" w:cs="宋体"/>
          <w:sz w:val="24"/>
          <w:szCs w:val="20"/>
          <w:lang w:val="zh-CN"/>
        </w:rPr>
        <w:t>考取国内研究生</w:t>
      </w:r>
      <w:r>
        <w:rPr>
          <w:rFonts w:hint="eastAsia" w:ascii="宋体" w:hAnsi="宋体" w:eastAsia="宋体" w:cs="宋体"/>
          <w:sz w:val="24"/>
          <w:szCs w:val="20"/>
          <w:lang w:val="en-US" w:eastAsia="zh-CN"/>
        </w:rPr>
        <w:t>356人，出国读研</w:t>
      </w:r>
      <w:r>
        <w:rPr>
          <w:rFonts w:hint="eastAsia" w:ascii="宋体" w:hAnsi="宋体" w:eastAsia="宋体" w:cs="宋体"/>
          <w:sz w:val="24"/>
          <w:szCs w:val="20"/>
        </w:rPr>
        <w:t>440</w:t>
      </w:r>
      <w:r>
        <w:rPr>
          <w:rFonts w:hint="eastAsia" w:ascii="宋体" w:hAnsi="宋体" w:eastAsia="宋体" w:cs="宋体"/>
          <w:sz w:val="24"/>
          <w:szCs w:val="20"/>
          <w:lang w:val="zh-CN"/>
        </w:rPr>
        <w:t>人，占毕业生人数的</w:t>
      </w:r>
      <w:r>
        <w:rPr>
          <w:rFonts w:hint="eastAsia" w:ascii="宋体" w:hAnsi="宋体" w:eastAsia="宋体" w:cs="宋体"/>
          <w:sz w:val="24"/>
          <w:szCs w:val="20"/>
        </w:rPr>
        <w:t>12.56</w:t>
      </w:r>
      <w:r>
        <w:rPr>
          <w:rFonts w:hint="eastAsia" w:ascii="宋体" w:hAnsi="宋体" w:eastAsia="宋体" w:cs="宋体"/>
          <w:sz w:val="24"/>
          <w:szCs w:val="20"/>
          <w:lang w:val="zh-CN"/>
        </w:rPr>
        <w:t>%，较去年上升约</w:t>
      </w:r>
      <w:r>
        <w:rPr>
          <w:rFonts w:hint="eastAsia" w:ascii="宋体" w:hAnsi="宋体" w:eastAsia="宋体" w:cs="宋体"/>
          <w:sz w:val="24"/>
          <w:szCs w:val="20"/>
        </w:rPr>
        <w:t>2.29</w:t>
      </w:r>
      <w:r>
        <w:rPr>
          <w:rFonts w:hint="eastAsia" w:ascii="宋体" w:hAnsi="宋体" w:eastAsia="宋体" w:cs="宋体"/>
          <w:sz w:val="24"/>
          <w:szCs w:val="20"/>
          <w:lang w:val="zh-CN"/>
        </w:rPr>
        <w:t>%，表明学生学习成绩不断提高，学校倡导学生考研深造取得了较大的效果。</w:t>
      </w:r>
    </w:p>
    <w:p>
      <w:pPr>
        <w:pStyle w:val="23"/>
        <w:rPr>
          <w:rFonts w:hAnsi="宋体" w:eastAsia="宋体" w:cs="Times New Roman"/>
        </w:rPr>
      </w:pPr>
      <w:r>
        <w:rPr>
          <w:rFonts w:hint="eastAsia" w:hAnsi="宋体" w:eastAsia="宋体" w:cs="Times New Roman"/>
          <w:lang w:val="zh-CN"/>
        </w:rPr>
        <w:t>（</w:t>
      </w:r>
      <w:r>
        <w:rPr>
          <w:rFonts w:hint="eastAsia" w:hAnsi="宋体" w:eastAsia="宋体" w:cs="Times New Roman"/>
          <w:lang w:val="en-US" w:eastAsia="zh-CN"/>
        </w:rPr>
        <w:t>4</w:t>
      </w:r>
      <w:r>
        <w:rPr>
          <w:rFonts w:hint="eastAsia" w:hAnsi="宋体" w:eastAsia="宋体" w:cs="Times New Roman"/>
          <w:lang w:val="zh-CN"/>
        </w:rPr>
        <w:t>）其他企业就业人数增多。近年来国家机构、事业单位、国有企业改革调整，需求人才的要求越来越高，本科毕业生直接进入这些单位就业越来越困难，选择到其他企业就业人数增多。</w:t>
      </w:r>
    </w:p>
    <w:p>
      <w:pPr>
        <w:pStyle w:val="4"/>
        <w:spacing w:before="0" w:after="0" w:line="360" w:lineRule="auto"/>
        <w:ind w:firstLine="562" w:firstLineChars="200"/>
      </w:pPr>
      <w:bookmarkStart w:id="9" w:name="_Toc10736"/>
      <w:r>
        <w:rPr>
          <w:rFonts w:hint="eastAsia"/>
          <w:lang w:val="zh-CN"/>
        </w:rPr>
        <w:t>二、</w:t>
      </w:r>
      <w:r>
        <w:rPr>
          <w:rFonts w:hint="eastAsia"/>
        </w:rPr>
        <w:t>工作机制</w:t>
      </w:r>
      <w:bookmarkEnd w:id="9"/>
    </w:p>
    <w:p>
      <w:pPr>
        <w:pStyle w:val="5"/>
        <w:spacing w:before="0" w:after="0" w:line="360" w:lineRule="auto"/>
        <w:ind w:firstLine="472" w:firstLineChars="196"/>
        <w:rPr>
          <w:rFonts w:ascii="Times New Roman" w:hAnsi="Times New Roman" w:cs="Times New Roman"/>
          <w:sz w:val="24"/>
          <w:szCs w:val="24"/>
          <w:lang w:val="zh-CN"/>
        </w:rPr>
      </w:pPr>
      <w:bookmarkStart w:id="10" w:name="_Toc9552"/>
      <w:r>
        <w:rPr>
          <w:rFonts w:hint="eastAsia" w:ascii="Times New Roman" w:hAnsi="Times New Roman" w:cs="Times New Roman"/>
          <w:sz w:val="24"/>
          <w:szCs w:val="24"/>
        </w:rPr>
        <w:t>1．</w:t>
      </w:r>
      <w:r>
        <w:rPr>
          <w:rFonts w:hint="eastAsia" w:ascii="Times New Roman" w:hAnsi="Times New Roman" w:cs="Times New Roman"/>
          <w:sz w:val="24"/>
          <w:szCs w:val="24"/>
          <w:lang w:val="zh-CN"/>
        </w:rPr>
        <w:t>加强领导、健全机制、形成齐抓共管、全民参与的良好局面</w:t>
      </w:r>
      <w:bookmarkEnd w:id="10"/>
    </w:p>
    <w:p>
      <w:pPr>
        <w:autoSpaceDE w:val="0"/>
        <w:autoSpaceDN w:val="0"/>
        <w:spacing w:line="360" w:lineRule="auto"/>
        <w:ind w:firstLine="480" w:firstLineChars="200"/>
        <w:rPr>
          <w:rFonts w:hAnsi="宋体" w:cs="Times New Roman"/>
          <w:sz w:val="24"/>
          <w:szCs w:val="20"/>
        </w:rPr>
      </w:pPr>
      <w:r>
        <w:rPr>
          <w:rFonts w:hint="eastAsia" w:hAnsi="宋体" w:cs="Times New Roman"/>
          <w:sz w:val="24"/>
          <w:szCs w:val="20"/>
        </w:rPr>
        <w:t>学校领导高度重视毕业生就业工作，多次召开会</w:t>
      </w:r>
      <w:r>
        <w:rPr>
          <w:rFonts w:hint="eastAsia" w:ascii="宋体" w:hAnsi="宋体" w:eastAsia="宋体" w:cs="宋体"/>
          <w:sz w:val="24"/>
          <w:szCs w:val="20"/>
        </w:rPr>
        <w:t>议研究2019届毕业</w:t>
      </w:r>
      <w:r>
        <w:rPr>
          <w:rFonts w:hint="eastAsia" w:hAnsi="宋体" w:cs="Times New Roman"/>
          <w:sz w:val="24"/>
          <w:szCs w:val="20"/>
        </w:rPr>
        <w:t>生就业工作。</w:t>
      </w:r>
      <w:r>
        <w:rPr>
          <w:rFonts w:ascii="Times New Roman" w:hAnsi="Times New Roman" w:cs="Times New Roman"/>
          <w:sz w:val="24"/>
          <w:szCs w:val="20"/>
        </w:rPr>
        <w:t>201</w:t>
      </w:r>
      <w:r>
        <w:rPr>
          <w:rFonts w:hint="eastAsia" w:ascii="Times New Roman" w:hAnsi="Times New Roman" w:cs="Times New Roman"/>
          <w:sz w:val="24"/>
          <w:szCs w:val="20"/>
        </w:rPr>
        <w:t>8</w:t>
      </w:r>
      <w:r>
        <w:rPr>
          <w:rFonts w:hint="eastAsia" w:hAnsi="宋体" w:cs="Times New Roman"/>
          <w:sz w:val="24"/>
          <w:szCs w:val="20"/>
        </w:rPr>
        <w:t>年</w:t>
      </w:r>
      <w:r>
        <w:rPr>
          <w:rFonts w:hint="eastAsia" w:ascii="Times New Roman" w:hAnsi="Times New Roman" w:cs="Times New Roman"/>
          <w:sz w:val="24"/>
          <w:szCs w:val="20"/>
        </w:rPr>
        <w:t>10</w:t>
      </w:r>
      <w:r>
        <w:rPr>
          <w:rFonts w:hint="eastAsia" w:hAnsi="宋体" w:cs="Times New Roman"/>
          <w:sz w:val="24"/>
          <w:szCs w:val="20"/>
        </w:rPr>
        <w:t>月份召开的毕业生就业工作会议对</w:t>
      </w:r>
      <w:r>
        <w:rPr>
          <w:rFonts w:hint="eastAsia" w:ascii="Times New Roman" w:hAnsi="Times New Roman" w:cs="Times New Roman"/>
          <w:sz w:val="24"/>
          <w:szCs w:val="20"/>
        </w:rPr>
        <w:t>2019</w:t>
      </w:r>
      <w:r>
        <w:rPr>
          <w:rFonts w:hint="eastAsia" w:hAnsi="宋体" w:cs="Times New Roman"/>
          <w:sz w:val="24"/>
          <w:szCs w:val="20"/>
        </w:rPr>
        <w:t>届毕业生就业工作做了全面的部署，明确了全年的工作目标，各学院分管领导、毕业生班主任、辅导员对做好就业工作统一了认识，形成了共识。学校领导到各学院调研，通过召开毕业生座谈会和下宿舍实地了解毕业生就业状况、就业心态与存在困难，采取措施，有利地推动了就业工作。</w:t>
      </w:r>
    </w:p>
    <w:p>
      <w:pPr>
        <w:autoSpaceDE w:val="0"/>
        <w:autoSpaceDN w:val="0"/>
        <w:spacing w:line="360" w:lineRule="auto"/>
        <w:ind w:firstLine="480" w:firstLineChars="200"/>
        <w:rPr>
          <w:rFonts w:hAnsi="宋体" w:cs="Times New Roman"/>
          <w:sz w:val="24"/>
          <w:szCs w:val="20"/>
        </w:rPr>
      </w:pPr>
      <w:r>
        <w:rPr>
          <w:rFonts w:hint="eastAsia" w:hAnsi="宋体" w:cs="Times New Roman"/>
          <w:sz w:val="24"/>
          <w:szCs w:val="20"/>
        </w:rPr>
        <w:t>学校建立了校院两级就业工作领导机制，学校层面校长负总责，学院层面院长或书记负总责，全面落实教育部提出的“一把手工程”。学校实行学院就业工作考评机制，把就业工作与学院年度考核、主要领导及辅导员年度考核、招生计划等挂钩，明确职责。通过这些措施，“领导主抓、处室统筹、院系为主、全员参与”的工作机制逐步形成，实效性不断增强。各学院从院长、书记到辅导员、班主任和普通教师都来关心毕业生就业工作。不管是领导还是普通老师，都积极主动联系企业，推荐学生，“全校动员、全员参与、全力以赴”的良好氛围正在逐步形成。</w:t>
      </w:r>
    </w:p>
    <w:p>
      <w:pPr>
        <w:autoSpaceDE w:val="0"/>
        <w:autoSpaceDN w:val="0"/>
        <w:spacing w:line="360" w:lineRule="auto"/>
        <w:ind w:firstLine="480" w:firstLineChars="200"/>
        <w:rPr>
          <w:rFonts w:hAnsi="宋体" w:cs="Times New Roman"/>
          <w:sz w:val="24"/>
          <w:szCs w:val="20"/>
        </w:rPr>
      </w:pPr>
      <w:r>
        <w:rPr>
          <w:rFonts w:hint="eastAsia" w:hAnsi="宋体" w:cs="Times New Roman"/>
          <w:sz w:val="24"/>
          <w:szCs w:val="20"/>
        </w:rPr>
        <w:t>学校采取毕业生就业情况周报制度，对就业进展情况进行实时跟踪和动态管理，各学院还从实际出发，制订就业工作相关制度，采取了一系列措施，有效地推动了毕业生就业工作。学校委托省教育评估院、麦克思公司等第三方积极开展毕业生职业发展状况跟踪调查，实时掌握毕业生需求状况，提供针对性指导。</w:t>
      </w:r>
    </w:p>
    <w:p>
      <w:pPr>
        <w:pStyle w:val="5"/>
        <w:spacing w:before="0" w:after="0" w:line="360" w:lineRule="auto"/>
        <w:ind w:firstLine="472" w:firstLineChars="196"/>
        <w:rPr>
          <w:rFonts w:ascii="Times New Roman" w:hAnsi="Times New Roman" w:cs="Times New Roman"/>
          <w:sz w:val="24"/>
          <w:szCs w:val="24"/>
        </w:rPr>
      </w:pPr>
      <w:bookmarkStart w:id="11" w:name="_Toc8364"/>
      <w:r>
        <w:rPr>
          <w:rFonts w:hint="eastAsia" w:ascii="Times New Roman" w:hAnsi="Times New Roman" w:cs="Times New Roman"/>
          <w:sz w:val="24"/>
          <w:szCs w:val="24"/>
        </w:rPr>
        <w:t>2．注重宣传，搭建平台，全方位帮助毕业生实现充分就业</w:t>
      </w:r>
      <w:bookmarkEnd w:id="11"/>
    </w:p>
    <w:p>
      <w:pPr>
        <w:widowControl/>
        <w:spacing w:line="360" w:lineRule="auto"/>
        <w:ind w:firstLine="480" w:firstLineChars="200"/>
        <w:jc w:val="left"/>
        <w:rPr>
          <w:rFonts w:hAnsi="宋体" w:cs="Times New Roman"/>
          <w:sz w:val="24"/>
          <w:szCs w:val="20"/>
        </w:rPr>
      </w:pPr>
      <w:r>
        <w:rPr>
          <w:rFonts w:hint="eastAsia" w:hAnsi="宋体" w:cs="Times New Roman"/>
          <w:sz w:val="24"/>
          <w:szCs w:val="20"/>
        </w:rPr>
        <w:t>学校注重毕业生就业宣传工作，编制了</w:t>
      </w:r>
      <w:r>
        <w:rPr>
          <w:rFonts w:hint="eastAsia" w:hAnsi="宋体" w:cs="Times New Roman"/>
          <w:sz w:val="24"/>
          <w:szCs w:val="20"/>
          <w:lang w:val="en-US" w:eastAsia="zh-CN"/>
        </w:rPr>
        <w:t>2019</w:t>
      </w:r>
      <w:r>
        <w:rPr>
          <w:rFonts w:hint="eastAsia" w:hAnsi="宋体" w:cs="Times New Roman"/>
          <w:sz w:val="24"/>
          <w:szCs w:val="20"/>
        </w:rPr>
        <w:t>届毕业生就业推荐专辑，通过各种形式把我校毕业生信息介绍给用人单位。学校通过多种媒体积极介绍我校人才培养特色、学生专业优势，为毕业生营造良好的就业氛围。</w:t>
      </w:r>
    </w:p>
    <w:p>
      <w:pPr>
        <w:autoSpaceDE w:val="0"/>
        <w:autoSpaceDN w:val="0"/>
        <w:spacing w:line="360" w:lineRule="auto"/>
        <w:ind w:firstLine="480" w:firstLineChars="200"/>
        <w:rPr>
          <w:rFonts w:hAnsi="宋体" w:cs="Times New Roman"/>
          <w:color w:val="FF0000"/>
          <w:sz w:val="24"/>
          <w:szCs w:val="20"/>
        </w:rPr>
      </w:pPr>
      <w:r>
        <w:rPr>
          <w:rFonts w:hint="eastAsia" w:hAnsi="宋体" w:cs="Times New Roman"/>
          <w:sz w:val="24"/>
          <w:szCs w:val="20"/>
        </w:rPr>
        <w:t>为加强高校与社会的联系，方便用人单位选聘人才，促进我校毕业生顺利就业，校招就办牵头组织了系列招聘会：</w:t>
      </w:r>
    </w:p>
    <w:p>
      <w:pPr>
        <w:pStyle w:val="5"/>
        <w:spacing w:before="0" w:after="0" w:line="360" w:lineRule="auto"/>
        <w:ind w:firstLine="472" w:firstLineChars="196"/>
        <w:rPr>
          <w:rFonts w:ascii="Times New Roman" w:hAnsi="Times New Roman" w:cs="Times New Roman"/>
          <w:sz w:val="24"/>
          <w:szCs w:val="24"/>
        </w:rPr>
      </w:pPr>
      <w:bookmarkStart w:id="12" w:name="_Toc9360"/>
      <w:r>
        <w:rPr>
          <w:rFonts w:hint="eastAsia" w:ascii="Times New Roman" w:hAnsi="Times New Roman" w:cs="Times New Roman"/>
          <w:sz w:val="24"/>
          <w:szCs w:val="24"/>
        </w:rPr>
        <w:t>3．加强指导，强化服务，全面提升毕业生就业服务水平</w:t>
      </w:r>
      <w:bookmarkEnd w:id="12"/>
    </w:p>
    <w:p>
      <w:pPr>
        <w:autoSpaceDE w:val="0"/>
        <w:autoSpaceDN w:val="0"/>
        <w:spacing w:line="360" w:lineRule="auto"/>
        <w:ind w:firstLine="480" w:firstLineChars="200"/>
        <w:rPr>
          <w:rFonts w:hAnsi="宋体" w:cs="Times New Roman"/>
          <w:sz w:val="24"/>
          <w:szCs w:val="20"/>
        </w:rPr>
      </w:pPr>
      <w:r>
        <w:rPr>
          <w:rFonts w:hint="eastAsia" w:hAnsi="宋体" w:cs="Times New Roman"/>
          <w:sz w:val="24"/>
          <w:szCs w:val="20"/>
        </w:rPr>
        <w:t>就业指导与服务已成为高校就业工作的核心内容。我校采取校院合作，在对学生开展就业指导课程的基础上，组织各类就业及创业讲座，邀请就业、创业指导专家、企事业知名人士、大中型企业人士主管、成功校友等来校与毕业生进行互动交流。“简历的制作及面试的技巧”、“从高校到职场的华丽转身”等一系列就业专题讲座使毕业生在及了解就业形势、掌握就业技巧的同时，受到了良好的职业道德教育，分享到了宝贵的成功人生经验，对今后的职业生涯发展有很大帮助。</w:t>
      </w:r>
    </w:p>
    <w:p>
      <w:pPr>
        <w:autoSpaceDE w:val="0"/>
        <w:autoSpaceDN w:val="0"/>
        <w:spacing w:line="360" w:lineRule="auto"/>
        <w:ind w:firstLine="480" w:firstLineChars="200"/>
        <w:rPr>
          <w:rFonts w:hAnsi="宋体" w:cs="Times New Roman"/>
          <w:sz w:val="24"/>
          <w:szCs w:val="20"/>
        </w:rPr>
      </w:pPr>
      <w:r>
        <w:rPr>
          <w:rFonts w:hint="eastAsia" w:hAnsi="宋体" w:cs="Times New Roman"/>
          <w:sz w:val="24"/>
          <w:szCs w:val="20"/>
        </w:rPr>
        <w:t>学校主动“请进来、走出去”，积极联系用人单位，开拓校内校外市场。</w:t>
      </w:r>
      <w:r>
        <w:rPr>
          <w:rFonts w:hint="eastAsia" w:ascii="Times New Roman" w:hAnsi="Times New Roman" w:cs="Times New Roman"/>
          <w:sz w:val="24"/>
          <w:szCs w:val="20"/>
        </w:rPr>
        <w:t>2016</w:t>
      </w:r>
      <w:r>
        <w:rPr>
          <w:rFonts w:hint="eastAsia" w:hAnsi="宋体" w:cs="Times New Roman"/>
          <w:sz w:val="24"/>
          <w:szCs w:val="20"/>
        </w:rPr>
        <w:t>年</w:t>
      </w:r>
      <w:r>
        <w:rPr>
          <w:rFonts w:hint="eastAsia" w:ascii="Times New Roman" w:hAnsi="Times New Roman" w:cs="Times New Roman"/>
          <w:sz w:val="24"/>
          <w:szCs w:val="20"/>
        </w:rPr>
        <w:t>10</w:t>
      </w:r>
      <w:r>
        <w:rPr>
          <w:rFonts w:hint="eastAsia" w:hAnsi="宋体" w:cs="Times New Roman"/>
          <w:sz w:val="24"/>
          <w:szCs w:val="20"/>
        </w:rPr>
        <w:t>月到</w:t>
      </w:r>
      <w:r>
        <w:rPr>
          <w:rFonts w:hint="eastAsia" w:ascii="Times New Roman" w:hAnsi="Times New Roman" w:cs="Times New Roman"/>
          <w:sz w:val="24"/>
          <w:szCs w:val="20"/>
        </w:rPr>
        <w:t>2017</w:t>
      </w:r>
      <w:r>
        <w:rPr>
          <w:rFonts w:hint="eastAsia" w:hAnsi="宋体" w:cs="Times New Roman"/>
          <w:sz w:val="24"/>
          <w:szCs w:val="20"/>
        </w:rPr>
        <w:t>年</w:t>
      </w:r>
      <w:r>
        <w:rPr>
          <w:rFonts w:hint="eastAsia" w:ascii="Times New Roman" w:hAnsi="Times New Roman" w:cs="Times New Roman"/>
          <w:sz w:val="24"/>
          <w:szCs w:val="20"/>
        </w:rPr>
        <w:t>6</w:t>
      </w:r>
      <w:r>
        <w:rPr>
          <w:rFonts w:hint="eastAsia" w:hAnsi="宋体" w:cs="Times New Roman"/>
          <w:sz w:val="24"/>
          <w:szCs w:val="20"/>
        </w:rPr>
        <w:t>月，有</w:t>
      </w:r>
      <w:r>
        <w:rPr>
          <w:rFonts w:hint="eastAsia" w:ascii="Times New Roman" w:hAnsi="Times New Roman" w:cs="Times New Roman"/>
          <w:sz w:val="24"/>
          <w:szCs w:val="20"/>
        </w:rPr>
        <w:t>100</w:t>
      </w:r>
      <w:r>
        <w:rPr>
          <w:rFonts w:hint="eastAsia" w:hAnsi="宋体" w:cs="Times New Roman"/>
          <w:sz w:val="24"/>
          <w:szCs w:val="20"/>
        </w:rPr>
        <w:t>多家知名企业来我校进行了校园宣讲会，包括银亿集团、宁波银行、平安银行、奥克斯集团、百胜餐饮、百威啤酒等知名企业。大型企业招聘宣讲会一方面给毕业生带来了大量的优质就业岗位，另一方面，加深了我校与企业的沟通，提升了企业对我校就业工作满意度。在积极做好校园招聘会、宣讲会的同时，我们还积极组织毕业生参加宁波各县市大型人才洽谈会，鼓励毕业生到各偏远地区、基层组织去锻炼。不断加强毕业生就业信息服务平台的建设，在校就业网上共发布近千家单位、上万个就业岗位的招聘信息。还通过微信公众号、短信、qq群等平台，将各种就业信息及时发送给每一位毕业生，取得了良好的效果。</w:t>
      </w:r>
    </w:p>
    <w:p>
      <w:pPr>
        <w:widowControl/>
        <w:spacing w:line="360" w:lineRule="auto"/>
        <w:ind w:firstLine="480" w:firstLineChars="200"/>
        <w:jc w:val="left"/>
        <w:rPr>
          <w:rFonts w:ascii="宋体" w:hAnsi="宋体"/>
          <w:kern w:val="0"/>
          <w:sz w:val="24"/>
        </w:rPr>
      </w:pPr>
    </w:p>
    <w:p>
      <w:pPr>
        <w:pStyle w:val="4"/>
        <w:spacing w:before="0" w:after="0" w:line="360" w:lineRule="auto"/>
        <w:ind w:firstLine="562" w:firstLineChars="200"/>
        <w:rPr>
          <w:lang w:val="zh-CN"/>
        </w:rPr>
      </w:pPr>
      <w:bookmarkStart w:id="13" w:name="_Toc15272"/>
      <w:r>
        <w:rPr>
          <w:rFonts w:hint="eastAsia"/>
        </w:rPr>
        <w:t>三、</w:t>
      </w:r>
      <w:r>
        <w:rPr>
          <w:rFonts w:hint="eastAsia"/>
          <w:lang w:val="zh-CN"/>
        </w:rPr>
        <w:t>措施及经验</w:t>
      </w:r>
      <w:bookmarkEnd w:id="13"/>
    </w:p>
    <w:p>
      <w:pPr>
        <w:pStyle w:val="5"/>
        <w:spacing w:before="0" w:after="0" w:line="360" w:lineRule="auto"/>
        <w:ind w:firstLine="472" w:firstLineChars="196"/>
        <w:rPr>
          <w:rFonts w:hint="eastAsia" w:ascii="Times New Roman" w:hAnsi="Times New Roman" w:cs="Times New Roman"/>
          <w:sz w:val="24"/>
          <w:szCs w:val="24"/>
        </w:rPr>
      </w:pPr>
      <w:bookmarkStart w:id="14" w:name="_Toc16390"/>
      <w:r>
        <w:rPr>
          <w:rFonts w:hint="eastAsia" w:ascii="Times New Roman" w:hAnsi="Times New Roman" w:cs="Times New Roman"/>
          <w:sz w:val="24"/>
          <w:szCs w:val="24"/>
        </w:rPr>
        <w:t>1．就业创业的措施</w:t>
      </w:r>
      <w:bookmarkEnd w:id="14"/>
    </w:p>
    <w:p>
      <w:pPr>
        <w:pStyle w:val="6"/>
        <w:spacing w:before="0" w:after="0" w:line="360" w:lineRule="auto"/>
        <w:ind w:firstLine="480" w:firstLineChars="200"/>
        <w:rPr>
          <w:rFonts w:ascii="黑体" w:hAnsi="黑体" w:cs="黑体"/>
          <w:b w:val="0"/>
          <w:bCs w:val="0"/>
          <w:lang w:val="zh-CN"/>
        </w:rPr>
      </w:pPr>
      <w:bookmarkStart w:id="15" w:name="_Toc46"/>
      <w:r>
        <w:rPr>
          <w:rFonts w:hint="eastAsia" w:ascii="黑体" w:hAnsi="黑体" w:cs="黑体"/>
          <w:b w:val="0"/>
          <w:bCs w:val="0"/>
          <w:lang w:val="zh-CN"/>
        </w:rPr>
        <w:t>（</w:t>
      </w:r>
      <w:r>
        <w:rPr>
          <w:rFonts w:hint="eastAsia" w:ascii="黑体" w:hAnsi="黑体" w:cs="黑体"/>
          <w:b w:val="0"/>
          <w:bCs w:val="0"/>
          <w:lang w:val="en-US" w:eastAsia="zh-CN"/>
        </w:rPr>
        <w:t>1</w:t>
      </w:r>
      <w:r>
        <w:rPr>
          <w:rFonts w:hint="eastAsia" w:ascii="黑体" w:hAnsi="黑体" w:cs="黑体"/>
          <w:b w:val="0"/>
          <w:bCs w:val="0"/>
          <w:lang w:val="zh-CN"/>
        </w:rPr>
        <w:t>）加强就业创业相关政策的落实</w:t>
      </w:r>
      <w:bookmarkEnd w:id="15"/>
    </w:p>
    <w:p>
      <w:pPr>
        <w:pStyle w:val="23"/>
        <w:rPr>
          <w:rFonts w:hAnsi="宋体" w:eastAsia="宋体" w:cs="Times New Roman"/>
          <w:lang w:val="zh-CN"/>
        </w:rPr>
      </w:pPr>
      <w:r>
        <w:rPr>
          <w:rFonts w:hint="eastAsia" w:hAnsi="宋体" w:eastAsia="宋体" w:cs="Times New Roman"/>
          <w:lang w:val="zh-CN"/>
        </w:rPr>
        <w:t>学校加强有关部门的相关政策的落实，积极联系企业召开招聘会，鼓励学生进行创业并给予相关支持，建立了大学生创业实训基地，进一步增强了学生们的创业实力。</w:t>
      </w:r>
    </w:p>
    <w:p>
      <w:pPr>
        <w:pStyle w:val="6"/>
        <w:spacing w:before="0" w:after="0" w:line="360" w:lineRule="auto"/>
        <w:ind w:firstLine="480" w:firstLineChars="200"/>
        <w:rPr>
          <w:rFonts w:ascii="黑体" w:hAnsi="黑体" w:cs="黑体"/>
          <w:b w:val="0"/>
          <w:bCs w:val="0"/>
          <w:szCs w:val="22"/>
          <w:lang w:val="zh-CN"/>
        </w:rPr>
      </w:pPr>
      <w:bookmarkStart w:id="16" w:name="_Toc6496"/>
      <w:r>
        <w:rPr>
          <w:rFonts w:hint="eastAsia" w:ascii="黑体" w:hAnsi="黑体" w:cs="黑体"/>
          <w:b w:val="0"/>
          <w:bCs w:val="0"/>
          <w:lang w:eastAsia="zh-CN"/>
        </w:rPr>
        <w:t>（</w:t>
      </w:r>
      <w:r>
        <w:rPr>
          <w:rFonts w:hint="eastAsia" w:ascii="黑体" w:hAnsi="黑体" w:cs="黑体"/>
          <w:b w:val="0"/>
          <w:bCs w:val="0"/>
          <w:lang w:val="en-US" w:eastAsia="zh-CN"/>
        </w:rPr>
        <w:t>2</w:t>
      </w:r>
      <w:r>
        <w:rPr>
          <w:rFonts w:hint="eastAsia" w:ascii="黑体" w:hAnsi="黑体" w:cs="黑体"/>
          <w:b w:val="0"/>
          <w:bCs w:val="0"/>
          <w:lang w:eastAsia="zh-CN"/>
        </w:rPr>
        <w:t>）</w:t>
      </w:r>
      <w:r>
        <w:rPr>
          <w:rFonts w:hint="eastAsia" w:ascii="黑体" w:hAnsi="黑体" w:cs="黑体"/>
          <w:b w:val="0"/>
          <w:bCs w:val="0"/>
          <w:szCs w:val="22"/>
          <w:lang w:val="zh-CN"/>
        </w:rPr>
        <w:t>加强指导，强化服务，全面提升毕业生就业服务水平</w:t>
      </w:r>
      <w:bookmarkEnd w:id="16"/>
    </w:p>
    <w:p>
      <w:pPr>
        <w:pStyle w:val="2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Ansi="宋体" w:eastAsia="宋体" w:cs="Times New Roman"/>
          <w:lang w:val="zh-CN"/>
        </w:rPr>
      </w:pPr>
      <w:r>
        <w:rPr>
          <w:rFonts w:hint="eastAsia" w:hAnsi="宋体" w:eastAsia="宋体" w:cs="Times New Roman"/>
          <w:lang w:val="zh-CN"/>
        </w:rPr>
        <w:t>就业指导与服务已成高校就业工作的核心内容。我校采取校院合作，在对学生开展就业指导课程的基础上，组织各类就业及创业讲座，邀请就业、创业指导专家、企事业知名人士、大中型企业人事主管、成功校友等来校与毕业生进行互动交流。</w:t>
      </w:r>
    </w:p>
    <w:p>
      <w:pPr>
        <w:pStyle w:val="2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Ansi="宋体" w:eastAsia="宋体" w:cs="Times New Roman"/>
          <w:lang w:val="zh-CN"/>
        </w:rPr>
      </w:pPr>
      <w:r>
        <w:rPr>
          <w:rFonts w:hint="eastAsia" w:hAnsi="宋体" w:eastAsia="宋体" w:cs="Times New Roman"/>
        </w:rPr>
        <w:t>同时我校还</w:t>
      </w:r>
      <w:r>
        <w:rPr>
          <w:rFonts w:hint="eastAsia" w:hAnsi="宋体" w:eastAsia="宋体" w:cs="Times New Roman"/>
          <w:lang w:val="zh-CN"/>
        </w:rPr>
        <w:t>加强毕业生就业信息服务平台的建设,在校就业网上共发布近千个就业岗位的招聘信息。还通过微信、短信、qq群等方式，将各种就业信息及时发送给每一位毕业生，取得了良好的效果。</w:t>
      </w:r>
    </w:p>
    <w:p>
      <w:pPr>
        <w:pStyle w:val="6"/>
        <w:spacing w:before="0" w:after="0" w:line="360" w:lineRule="auto"/>
        <w:ind w:firstLine="480" w:firstLineChars="200"/>
        <w:rPr>
          <w:rFonts w:ascii="黑体" w:hAnsi="黑体" w:cs="黑体"/>
          <w:b w:val="0"/>
          <w:bCs w:val="0"/>
          <w:szCs w:val="22"/>
        </w:rPr>
      </w:pPr>
      <w:bookmarkStart w:id="17" w:name="_Toc15479"/>
      <w:r>
        <w:rPr>
          <w:rFonts w:hint="eastAsia" w:ascii="黑体" w:hAnsi="黑体" w:cs="黑体"/>
          <w:b w:val="0"/>
          <w:bCs w:val="0"/>
          <w:lang w:eastAsia="zh-CN"/>
        </w:rPr>
        <w:t>（</w:t>
      </w:r>
      <w:r>
        <w:rPr>
          <w:rFonts w:hint="eastAsia" w:ascii="黑体" w:hAnsi="黑体" w:cs="黑体"/>
          <w:b w:val="0"/>
          <w:bCs w:val="0"/>
          <w:lang w:val="en-US" w:eastAsia="zh-CN"/>
        </w:rPr>
        <w:t>3</w:t>
      </w:r>
      <w:r>
        <w:rPr>
          <w:rFonts w:hint="eastAsia" w:ascii="黑体" w:hAnsi="黑体" w:cs="黑体"/>
          <w:b w:val="0"/>
          <w:bCs w:val="0"/>
          <w:lang w:eastAsia="zh-CN"/>
        </w:rPr>
        <w:t>）</w:t>
      </w:r>
      <w:r>
        <w:rPr>
          <w:rFonts w:hint="eastAsia" w:ascii="黑体" w:hAnsi="黑体" w:cs="黑体"/>
          <w:b w:val="0"/>
          <w:bCs w:val="0"/>
          <w:szCs w:val="22"/>
        </w:rPr>
        <w:t>丰富就业指导形式，提高学生就业能力</w:t>
      </w:r>
      <w:bookmarkEnd w:id="17"/>
    </w:p>
    <w:p>
      <w:pPr>
        <w:pStyle w:val="23"/>
        <w:rPr>
          <w:rFonts w:hAnsi="宋体" w:eastAsia="宋体" w:cs="Times New Roman"/>
          <w:lang w:val="zh-CN"/>
        </w:rPr>
      </w:pPr>
      <w:r>
        <w:rPr>
          <w:rFonts w:hint="eastAsia" w:hAnsi="宋体" w:eastAsia="宋体" w:cs="Times New Roman"/>
        </w:rPr>
        <w:t>调整大学生创业课程授课内容，开展实践性强的学生创业活动。组织学生参加职业技能培训班，增强学生创业的实践能力。邀请区委党校、企业人事、律师等专家为学院学生做职业生涯规划及就业权益知识讲座。</w:t>
      </w:r>
    </w:p>
    <w:p>
      <w:pPr>
        <w:pStyle w:val="6"/>
        <w:spacing w:before="0" w:after="0" w:line="360" w:lineRule="auto"/>
        <w:ind w:firstLine="480" w:firstLineChars="200"/>
        <w:rPr>
          <w:rFonts w:ascii="黑体" w:hAnsi="黑体" w:cs="黑体"/>
          <w:b w:val="0"/>
          <w:bCs w:val="0"/>
          <w:szCs w:val="22"/>
        </w:rPr>
      </w:pPr>
      <w:bookmarkStart w:id="18" w:name="_Toc21527"/>
      <w:r>
        <w:rPr>
          <w:rFonts w:hint="eastAsia" w:ascii="黑体" w:hAnsi="黑体" w:cs="黑体"/>
          <w:b w:val="0"/>
          <w:bCs w:val="0"/>
          <w:lang w:eastAsia="zh-CN"/>
        </w:rPr>
        <w:t>（</w:t>
      </w:r>
      <w:r>
        <w:rPr>
          <w:rFonts w:hint="eastAsia" w:ascii="黑体" w:hAnsi="黑体" w:cs="黑体"/>
          <w:b w:val="0"/>
          <w:bCs w:val="0"/>
          <w:lang w:val="en-US" w:eastAsia="zh-CN"/>
        </w:rPr>
        <w:t>4</w:t>
      </w:r>
      <w:r>
        <w:rPr>
          <w:rFonts w:hint="eastAsia" w:ascii="黑体" w:hAnsi="黑体" w:cs="黑体"/>
          <w:b w:val="0"/>
          <w:bCs w:val="0"/>
          <w:lang w:eastAsia="zh-CN"/>
        </w:rPr>
        <w:t>）</w:t>
      </w:r>
      <w:r>
        <w:rPr>
          <w:rFonts w:hint="eastAsia" w:ascii="黑体" w:hAnsi="黑体" w:cs="黑体"/>
          <w:b w:val="0"/>
          <w:bCs w:val="0"/>
          <w:szCs w:val="22"/>
        </w:rPr>
        <w:t>健全就业指导体系，把就业工作摆在突出位置</w:t>
      </w:r>
      <w:bookmarkEnd w:id="18"/>
    </w:p>
    <w:p>
      <w:pPr>
        <w:pStyle w:val="23"/>
        <w:rPr>
          <w:rFonts w:hAnsi="宋体" w:eastAsia="宋体" w:cs="Times New Roman"/>
        </w:rPr>
      </w:pPr>
      <w:r>
        <w:rPr>
          <w:rFonts w:hint="eastAsia" w:hAnsi="宋体" w:eastAsia="宋体" w:cs="Times New Roman"/>
        </w:rPr>
        <w:t>就业工作是促进学校发展的战略任务，我校始终把就业工作摆在 重要的位置，主管院长亲自部署就业工作，落实责任，定期检查督促，确保学院就业工作认识到位、领导到位、责任到位、资金到位、措施到位和服务到位。</w:t>
      </w:r>
    </w:p>
    <w:p>
      <w:pPr>
        <w:pStyle w:val="5"/>
        <w:spacing w:before="0" w:after="0" w:line="360" w:lineRule="auto"/>
        <w:ind w:firstLine="472" w:firstLineChars="196"/>
        <w:rPr>
          <w:rFonts w:ascii="Times New Roman" w:hAnsi="Times New Roman" w:cs="Times New Roman"/>
          <w:sz w:val="24"/>
          <w:szCs w:val="24"/>
        </w:rPr>
      </w:pPr>
      <w:bookmarkStart w:id="19" w:name="_Toc25530"/>
      <w:r>
        <w:rPr>
          <w:rFonts w:hint="eastAsia" w:ascii="Times New Roman" w:hAnsi="Times New Roman" w:cs="Times New Roman"/>
          <w:sz w:val="24"/>
          <w:szCs w:val="24"/>
        </w:rPr>
        <w:t>2．就业创业工作经验</w:t>
      </w:r>
      <w:bookmarkEnd w:id="19"/>
    </w:p>
    <w:p>
      <w:pPr>
        <w:pStyle w:val="6"/>
        <w:spacing w:before="0" w:after="0" w:line="360" w:lineRule="auto"/>
        <w:ind w:firstLine="480" w:firstLineChars="200"/>
        <w:rPr>
          <w:rFonts w:ascii="黑体" w:hAnsi="黑体" w:cs="黑体"/>
          <w:b w:val="0"/>
          <w:bCs w:val="0"/>
          <w:szCs w:val="22"/>
          <w:lang w:val="zh-CN"/>
        </w:rPr>
      </w:pPr>
      <w:bookmarkStart w:id="20" w:name="_Toc26041"/>
      <w:r>
        <w:rPr>
          <w:rFonts w:hint="eastAsia" w:ascii="黑体" w:hAnsi="黑体" w:cs="黑体"/>
          <w:b w:val="0"/>
          <w:bCs w:val="0"/>
          <w:lang w:eastAsia="zh-CN"/>
        </w:rPr>
        <w:t>（</w:t>
      </w:r>
      <w:r>
        <w:rPr>
          <w:rFonts w:hint="eastAsia" w:ascii="黑体" w:hAnsi="黑体" w:cs="黑体"/>
          <w:b w:val="0"/>
          <w:bCs w:val="0"/>
          <w:lang w:val="en-US" w:eastAsia="zh-CN"/>
        </w:rPr>
        <w:t>1</w:t>
      </w:r>
      <w:r>
        <w:rPr>
          <w:rFonts w:hint="eastAsia" w:ascii="黑体" w:hAnsi="黑体" w:cs="黑体"/>
          <w:b w:val="0"/>
          <w:bCs w:val="0"/>
          <w:lang w:eastAsia="zh-CN"/>
        </w:rPr>
        <w:t>）</w:t>
      </w:r>
      <w:r>
        <w:rPr>
          <w:rFonts w:hint="eastAsia" w:ascii="黑体" w:hAnsi="黑体" w:cs="黑体"/>
          <w:b w:val="0"/>
          <w:bCs w:val="0"/>
          <w:szCs w:val="22"/>
          <w:lang w:val="zh-CN"/>
        </w:rPr>
        <w:t>关注创新创业教育，培育学生勇于探索的创新精神</w:t>
      </w:r>
      <w:bookmarkEnd w:id="20"/>
    </w:p>
    <w:p>
      <w:pPr>
        <w:pStyle w:val="23"/>
        <w:rPr>
          <w:rFonts w:hAnsi="宋体" w:eastAsia="宋体" w:cs="Times New Roman"/>
          <w:lang w:val="zh-CN"/>
        </w:rPr>
      </w:pPr>
      <w:r>
        <w:rPr>
          <w:rFonts w:hint="eastAsia" w:hAnsi="宋体" w:eastAsia="宋体" w:cs="Times New Roman"/>
          <w:lang w:val="zh-CN"/>
        </w:rPr>
        <w:t xml:space="preserve">利用学校、政府、企业、专家、校友等各方力量开展创新创业教育和创业实践指导。如开展“青年创业大讲堂”和“多元化创业新路线”等系列讲座、沙龙;举办“大学生自主创业政策解析和实务指导”讲座;设立专项基金资助本科生从事科学研究，设立创业基金每年为5支团队提供约10万人民币的资助;连续10年举办学生创业计划大赛，为优秀项目提供资金支持和成果孵化帮助等。通过上述一系列教育和活动，学生创业领域和方向日趋多元化，创业热情不断高涨。 </w:t>
      </w:r>
    </w:p>
    <w:p>
      <w:pPr>
        <w:widowControl/>
        <w:spacing w:line="360" w:lineRule="auto"/>
        <w:ind w:firstLine="480" w:firstLineChars="200"/>
        <w:jc w:val="left"/>
        <w:rPr>
          <w:rFonts w:hAnsi="宋体" w:cs="Times New Roman"/>
          <w:sz w:val="24"/>
          <w:szCs w:val="20"/>
          <w:lang w:val="zh-CN"/>
        </w:rPr>
      </w:pPr>
      <w:bookmarkStart w:id="21" w:name="_Toc28594"/>
      <w:r>
        <w:rPr>
          <w:rStyle w:val="29"/>
          <w:rFonts w:hint="eastAsia" w:ascii="黑体" w:hAnsi="黑体" w:cs="黑体"/>
          <w:b w:val="0"/>
          <w:bCs w:val="0"/>
        </w:rPr>
        <w:t>2</w:t>
      </w:r>
      <w:r>
        <w:rPr>
          <w:rStyle w:val="29"/>
          <w:rFonts w:hint="eastAsia" w:ascii="黑体" w:hAnsi="黑体" w:cs="黑体"/>
          <w:b w:val="0"/>
          <w:bCs w:val="0"/>
          <w:lang w:val="zh-CN"/>
        </w:rPr>
        <w:t>）高度重视，创新思路，积极促进毕业生就业</w:t>
      </w:r>
      <w:r>
        <w:rPr>
          <w:rStyle w:val="29"/>
          <w:rFonts w:hint="eastAsia" w:ascii="黑体" w:hAnsi="黑体" w:cs="黑体"/>
          <w:b w:val="0"/>
          <w:bCs w:val="0"/>
          <w:lang w:val="zh-CN"/>
        </w:rPr>
        <w:br w:type="textWrapping"/>
      </w:r>
      <w:bookmarkEnd w:id="21"/>
      <w:r>
        <w:rPr>
          <w:rFonts w:hint="eastAsia" w:ascii="宋体" w:hAnsi="宋体"/>
          <w:kern w:val="0"/>
          <w:sz w:val="24"/>
        </w:rPr>
        <w:t xml:space="preserve"> </w:t>
      </w:r>
      <w:r>
        <w:rPr>
          <w:rFonts w:hint="eastAsia" w:hAnsi="宋体" w:cs="Times New Roman"/>
          <w:sz w:val="24"/>
          <w:szCs w:val="20"/>
          <w:lang w:val="zh-CN"/>
        </w:rPr>
        <w:t>　①举措引导和鼓励学生到基层就业。专门出台文件，通过开展政策咨询周、举办基层单位及村官座谈会、基层就业活动月、实地考察基层工作等活动以及承诺考研加分、给予物质奖励等政策优惠，引导学生就业观念由追求“三高三大”向“行行建功、处处立业”转变。</w:t>
      </w:r>
      <w:r>
        <w:rPr>
          <w:rFonts w:hint="eastAsia" w:hAnsi="宋体" w:cs="Times New Roman"/>
          <w:sz w:val="24"/>
          <w:szCs w:val="20"/>
          <w:lang w:val="zh-CN"/>
        </w:rPr>
        <w:br w:type="textWrapping"/>
      </w:r>
      <w:r>
        <w:rPr>
          <w:rFonts w:hint="eastAsia" w:ascii="宋体" w:hAnsi="宋体"/>
          <w:kern w:val="0"/>
          <w:sz w:val="24"/>
        </w:rPr>
        <w:t>　</w:t>
      </w:r>
      <w:r>
        <w:rPr>
          <w:rFonts w:hint="eastAsia" w:hAnsi="宋体" w:cs="Times New Roman"/>
          <w:sz w:val="24"/>
          <w:szCs w:val="20"/>
          <w:lang w:val="zh-CN"/>
        </w:rPr>
        <w:t xml:space="preserve">　②构建与用人单位合作的长效机制。创立与用人单位的就业工作联谊会制度，开拓并巩固良好的就业市场，在社会各界引起强烈反响。 </w:t>
      </w:r>
    </w:p>
    <w:p>
      <w:pPr>
        <w:pStyle w:val="6"/>
        <w:spacing w:before="0" w:after="0" w:line="360" w:lineRule="auto"/>
        <w:ind w:firstLine="480" w:firstLineChars="200"/>
        <w:rPr>
          <w:rFonts w:ascii="黑体" w:hAnsi="黑体" w:cs="黑体"/>
          <w:b w:val="0"/>
          <w:bCs w:val="0"/>
          <w:szCs w:val="22"/>
        </w:rPr>
      </w:pPr>
      <w:bookmarkStart w:id="22" w:name="_Toc31191"/>
      <w:r>
        <w:rPr>
          <w:rFonts w:hint="eastAsia" w:ascii="黑体" w:hAnsi="黑体" w:cs="黑体"/>
          <w:b w:val="0"/>
          <w:bCs w:val="0"/>
          <w:szCs w:val="22"/>
        </w:rPr>
        <w:t>3</w:t>
      </w:r>
      <w:r>
        <w:rPr>
          <w:rFonts w:hint="eastAsia" w:ascii="黑体" w:hAnsi="黑体" w:cs="黑体"/>
          <w:b w:val="0"/>
          <w:bCs w:val="0"/>
          <w:szCs w:val="22"/>
          <w:lang w:val="zh-CN"/>
        </w:rPr>
        <w:t>）要主动适应市场的变化，调整就业方式</w:t>
      </w:r>
      <w:bookmarkEnd w:id="22"/>
    </w:p>
    <w:p>
      <w:pPr>
        <w:widowControl/>
        <w:spacing w:line="360" w:lineRule="auto"/>
        <w:ind w:firstLine="480" w:firstLineChars="200"/>
        <w:jc w:val="left"/>
        <w:rPr>
          <w:rFonts w:ascii="宋体" w:hAnsi="宋体"/>
          <w:kern w:val="0"/>
          <w:sz w:val="24"/>
        </w:rPr>
      </w:pPr>
      <w:r>
        <w:rPr>
          <w:rFonts w:hint="eastAsia" w:hAnsi="宋体" w:cs="Times New Roman"/>
          <w:sz w:val="24"/>
          <w:szCs w:val="20"/>
          <w:lang w:val="zh-CN"/>
        </w:rPr>
        <w:t>主动适应行业发展趋势和就业市场环境，优化专业设置，整合教育资源，探索实践优秀拔尖人才的培养模式；大力推动校企合作，开展多层次、广覆盖的创业教育活动，“双实双业”基地理念先进，保障到位，实效明显。 </w:t>
      </w:r>
    </w:p>
    <w:p>
      <w:pPr>
        <w:pStyle w:val="4"/>
        <w:spacing w:before="0" w:after="0" w:line="360" w:lineRule="auto"/>
        <w:ind w:firstLine="562" w:firstLineChars="200"/>
      </w:pPr>
      <w:bookmarkStart w:id="23" w:name="_Toc7017"/>
      <w:r>
        <w:rPr>
          <w:rFonts w:hint="eastAsia"/>
        </w:rPr>
        <w:t>四、存在的困难问题</w:t>
      </w:r>
      <w:bookmarkEnd w:id="23"/>
    </w:p>
    <w:p>
      <w:pPr>
        <w:pStyle w:val="23"/>
        <w:rPr>
          <w:rFonts w:hAnsi="宋体" w:eastAsia="宋体" w:cs="Times New Roman"/>
          <w:lang w:val="zh-CN"/>
        </w:rPr>
      </w:pPr>
      <w:r>
        <w:rPr>
          <w:rFonts w:ascii="Times New Roman" w:hAnsi="Times New Roman" w:eastAsia="宋体" w:cs="Times New Roman"/>
          <w:lang w:val="zh-CN"/>
        </w:rPr>
        <w:t>201</w:t>
      </w:r>
      <w:r>
        <w:rPr>
          <w:rFonts w:hint="eastAsia" w:ascii="Times New Roman" w:hAnsi="Times New Roman" w:eastAsia="宋体" w:cs="Times New Roman"/>
        </w:rPr>
        <w:t>9</w:t>
      </w:r>
      <w:r>
        <w:rPr>
          <w:rFonts w:hint="eastAsia" w:hAnsi="宋体" w:eastAsia="宋体" w:cs="Times New Roman"/>
          <w:lang w:val="zh-CN"/>
        </w:rPr>
        <w:t>届毕业生就业工作已经基本结束，也取得了比较理想的成绩，但我们也清楚地认识到在就业工作方面存在的困难和问题。</w:t>
      </w:r>
    </w:p>
    <w:p>
      <w:pPr>
        <w:pStyle w:val="5"/>
        <w:spacing w:before="0" w:after="0" w:line="360" w:lineRule="auto"/>
        <w:ind w:firstLine="472" w:firstLineChars="196"/>
        <w:rPr>
          <w:rFonts w:ascii="Times New Roman" w:hAnsi="Times New Roman" w:cs="Times New Roman"/>
          <w:sz w:val="24"/>
          <w:szCs w:val="24"/>
          <w:lang w:val="zh-CN"/>
        </w:rPr>
      </w:pPr>
      <w:bookmarkStart w:id="24" w:name="_Toc3621"/>
      <w:r>
        <w:rPr>
          <w:rFonts w:hint="eastAsia" w:ascii="Times New Roman" w:hAnsi="Times New Roman" w:cs="Times New Roman"/>
          <w:sz w:val="24"/>
          <w:szCs w:val="24"/>
          <w:lang w:val="zh-CN"/>
        </w:rPr>
        <w:t>1</w:t>
      </w:r>
      <w:r>
        <w:rPr>
          <w:rFonts w:hint="eastAsia" w:ascii="Times New Roman" w:hAnsi="Times New Roman" w:cs="Times New Roman"/>
          <w:sz w:val="24"/>
          <w:szCs w:val="24"/>
        </w:rPr>
        <w:t>．</w:t>
      </w:r>
      <w:r>
        <w:rPr>
          <w:rFonts w:hint="eastAsia" w:ascii="Times New Roman" w:hAnsi="Times New Roman" w:cs="Times New Roman"/>
          <w:sz w:val="24"/>
          <w:szCs w:val="24"/>
          <w:lang w:val="zh-CN"/>
        </w:rPr>
        <w:t>毕业生就业过程中存在的问题</w:t>
      </w:r>
      <w:bookmarkEnd w:id="24"/>
    </w:p>
    <w:p>
      <w:pPr>
        <w:pStyle w:val="6"/>
        <w:spacing w:before="0" w:after="0" w:line="360" w:lineRule="auto"/>
        <w:ind w:firstLine="480" w:firstLineChars="200"/>
        <w:rPr>
          <w:b w:val="0"/>
          <w:bCs w:val="0"/>
          <w:szCs w:val="22"/>
          <w:lang w:val="zh-CN"/>
        </w:rPr>
      </w:pPr>
      <w:bookmarkStart w:id="25" w:name="_Toc10568"/>
      <w:r>
        <w:rPr>
          <w:rFonts w:hint="eastAsia"/>
          <w:b w:val="0"/>
          <w:bCs w:val="0"/>
          <w:szCs w:val="22"/>
        </w:rPr>
        <w:t>1</w:t>
      </w:r>
      <w:r>
        <w:rPr>
          <w:rFonts w:hint="eastAsia"/>
          <w:b w:val="0"/>
          <w:bCs w:val="0"/>
          <w:szCs w:val="22"/>
          <w:lang w:val="zh-CN"/>
        </w:rPr>
        <w:t>）</w:t>
      </w:r>
      <w:r>
        <w:rPr>
          <w:rFonts w:hint="eastAsia"/>
          <w:b w:val="0"/>
          <w:bCs w:val="0"/>
          <w:szCs w:val="22"/>
        </w:rPr>
        <w:t>缺乏相应的</w:t>
      </w:r>
      <w:r>
        <w:rPr>
          <w:rFonts w:hint="eastAsia"/>
          <w:b w:val="0"/>
          <w:bCs w:val="0"/>
          <w:szCs w:val="22"/>
          <w:lang w:val="zh-CN"/>
        </w:rPr>
        <w:t>求职技能</w:t>
      </w:r>
      <w:bookmarkEnd w:id="25"/>
    </w:p>
    <w:p>
      <w:pPr>
        <w:pStyle w:val="23"/>
        <w:rPr>
          <w:rFonts w:hAnsi="宋体" w:eastAsia="宋体" w:cs="Times New Roman"/>
          <w:lang w:val="zh-CN"/>
        </w:rPr>
      </w:pPr>
      <w:r>
        <w:rPr>
          <w:rFonts w:hint="eastAsia" w:hAnsi="宋体" w:eastAsia="宋体" w:cs="Times New Roman"/>
          <w:lang w:val="zh-CN"/>
        </w:rPr>
        <w:t>求职技能包括信息收集与处理能力、准确定位能力、抓住机遇的能力、表达能力、决策能力、自我推销能力、自我保护能力等，是决定大学生能否实现与生产资料结合，达到人职匹配的重要因素。但是，不少大学生缺乏这样的能力，在应聘时没有运用相应的应聘技巧与策略，未能将社会关系和社会资本恰当运用。</w:t>
      </w:r>
      <w:r>
        <w:rPr>
          <w:rFonts w:hAnsi="宋体" w:eastAsia="宋体" w:cs="Times New Roman"/>
          <w:lang w:val="zh-CN"/>
        </w:rPr>
        <w:t> </w:t>
      </w:r>
    </w:p>
    <w:p>
      <w:pPr>
        <w:pStyle w:val="6"/>
        <w:spacing w:before="0" w:after="0" w:line="360" w:lineRule="auto"/>
        <w:ind w:firstLine="480" w:firstLineChars="200"/>
        <w:rPr>
          <w:b w:val="0"/>
          <w:bCs w:val="0"/>
          <w:szCs w:val="22"/>
          <w:lang w:val="zh-CN"/>
        </w:rPr>
      </w:pPr>
      <w:bookmarkStart w:id="26" w:name="_Toc20681"/>
      <w:r>
        <w:rPr>
          <w:rFonts w:hint="eastAsia"/>
          <w:b w:val="0"/>
          <w:bCs w:val="0"/>
          <w:szCs w:val="22"/>
        </w:rPr>
        <w:t>2</w:t>
      </w:r>
      <w:r>
        <w:rPr>
          <w:rFonts w:hint="eastAsia"/>
          <w:b w:val="0"/>
          <w:bCs w:val="0"/>
          <w:szCs w:val="22"/>
          <w:lang w:val="zh-CN"/>
        </w:rPr>
        <w:t>）专业技能不足 </w:t>
      </w:r>
      <w:bookmarkEnd w:id="26"/>
    </w:p>
    <w:p>
      <w:pPr>
        <w:pStyle w:val="23"/>
        <w:rPr>
          <w:rFonts w:hAnsi="宋体" w:eastAsia="宋体" w:cs="Times New Roman"/>
          <w:lang w:val="zh-CN"/>
        </w:rPr>
      </w:pPr>
      <w:r>
        <w:rPr>
          <w:rFonts w:hint="eastAsia" w:hAnsi="宋体" w:eastAsia="宋体" w:cs="Times New Roman"/>
          <w:lang w:val="zh-CN"/>
        </w:rPr>
        <w:t>大学生经过严格的专业训练能够全面系统地掌握学科。本专业的基本理论、方法和技能，运用这些知识指导实践的能力、学习与专业相关的新知识新技术的能力等。一些毕业生由于没有掌握相应的专业技能，甚至连最基本的专业常识都很缺乏，因此在就业过程中频频遭遇困难和挫折。</w:t>
      </w:r>
      <w:r>
        <w:rPr>
          <w:rFonts w:hAnsi="宋体" w:eastAsia="宋体" w:cs="Times New Roman"/>
          <w:lang w:val="zh-CN"/>
        </w:rPr>
        <w:t> </w:t>
      </w:r>
    </w:p>
    <w:p>
      <w:pPr>
        <w:pStyle w:val="6"/>
        <w:spacing w:before="0" w:after="0" w:line="360" w:lineRule="auto"/>
        <w:ind w:firstLine="480" w:firstLineChars="200"/>
        <w:rPr>
          <w:b w:val="0"/>
          <w:bCs w:val="0"/>
          <w:szCs w:val="22"/>
          <w:lang w:val="zh-CN"/>
        </w:rPr>
      </w:pPr>
      <w:bookmarkStart w:id="27" w:name="_Toc14012"/>
      <w:r>
        <w:rPr>
          <w:rFonts w:hint="eastAsia"/>
          <w:b w:val="0"/>
          <w:bCs w:val="0"/>
          <w:szCs w:val="22"/>
        </w:rPr>
        <w:t>3</w:t>
      </w:r>
      <w:r>
        <w:rPr>
          <w:rFonts w:hint="eastAsia"/>
          <w:b w:val="0"/>
          <w:bCs w:val="0"/>
          <w:szCs w:val="22"/>
          <w:lang w:val="zh-CN"/>
        </w:rPr>
        <w:t>）就业心理准备不足 </w:t>
      </w:r>
      <w:bookmarkEnd w:id="27"/>
    </w:p>
    <w:p>
      <w:pPr>
        <w:pStyle w:val="23"/>
        <w:rPr>
          <w:rFonts w:hAnsi="宋体" w:eastAsia="宋体" w:cs="Times New Roman"/>
          <w:lang w:val="zh-CN"/>
        </w:rPr>
      </w:pPr>
      <w:r>
        <w:rPr>
          <w:rFonts w:hint="eastAsia" w:hAnsi="宋体" w:eastAsia="宋体" w:cs="Times New Roman"/>
          <w:lang w:val="zh-CN"/>
        </w:rPr>
        <w:t>对于大多数的学生来说，大学阶段过的是一种单纯而有保障的生活，学习、生活、交际都较有规律，这样的生活与现实社会自然存在一定的距离，无法应对，产生心理落差，无法满足就职的心理需要。</w:t>
      </w:r>
    </w:p>
    <w:p>
      <w:pPr>
        <w:pStyle w:val="6"/>
        <w:spacing w:before="0" w:after="0" w:line="360" w:lineRule="auto"/>
        <w:ind w:firstLine="480" w:firstLineChars="200"/>
        <w:rPr>
          <w:b w:val="0"/>
          <w:bCs w:val="0"/>
          <w:szCs w:val="22"/>
          <w:lang w:val="zh-CN"/>
        </w:rPr>
      </w:pPr>
      <w:bookmarkStart w:id="28" w:name="_Toc23020"/>
      <w:r>
        <w:rPr>
          <w:rFonts w:hint="eastAsia"/>
          <w:b w:val="0"/>
          <w:bCs w:val="0"/>
          <w:szCs w:val="22"/>
        </w:rPr>
        <w:t>4</w:t>
      </w:r>
      <w:r>
        <w:rPr>
          <w:rFonts w:hint="eastAsia"/>
          <w:b w:val="0"/>
          <w:bCs w:val="0"/>
          <w:szCs w:val="22"/>
          <w:lang w:val="zh-CN"/>
        </w:rPr>
        <w:t>）基本工作能力较差</w:t>
      </w:r>
      <w:bookmarkEnd w:id="28"/>
    </w:p>
    <w:p>
      <w:pPr>
        <w:pStyle w:val="23"/>
        <w:rPr>
          <w:rFonts w:hAnsi="宋体" w:eastAsia="宋体" w:cs="Times New Roman"/>
        </w:rPr>
      </w:pPr>
      <w:r>
        <w:rPr>
          <w:rFonts w:hint="eastAsia" w:hAnsi="宋体" w:eastAsia="宋体" w:cs="Times New Roman"/>
          <w:lang w:val="zh-CN"/>
        </w:rPr>
        <w:t>一些毕业生缺乏对岗位的热爱与理解，工作选择上拈轻怕重，适应职业岗位的时间较长，基本工作能力较差，导致在职场上的发展后劲不足。</w:t>
      </w:r>
      <w:r>
        <w:rPr>
          <w:rFonts w:hAnsi="宋体" w:eastAsia="宋体" w:cs="Times New Roman"/>
          <w:lang w:val="zh-CN"/>
        </w:rPr>
        <w:t> </w:t>
      </w:r>
    </w:p>
    <w:p>
      <w:pPr>
        <w:pStyle w:val="5"/>
        <w:spacing w:before="0" w:after="0" w:line="360" w:lineRule="auto"/>
        <w:ind w:firstLine="472" w:firstLineChars="196"/>
        <w:rPr>
          <w:rFonts w:ascii="Times New Roman" w:hAnsi="Times New Roman" w:cs="Times New Roman"/>
          <w:sz w:val="24"/>
          <w:szCs w:val="24"/>
          <w:lang w:val="zh-CN"/>
        </w:rPr>
      </w:pPr>
      <w:bookmarkStart w:id="29" w:name="_Toc29172"/>
      <w:r>
        <w:rPr>
          <w:rFonts w:hint="eastAsia" w:ascii="Times New Roman" w:hAnsi="Times New Roman" w:cs="Times New Roman"/>
          <w:sz w:val="24"/>
          <w:szCs w:val="24"/>
          <w:lang w:val="zh-CN"/>
        </w:rPr>
        <w:t>2</w:t>
      </w:r>
      <w:r>
        <w:rPr>
          <w:rFonts w:hint="eastAsia" w:ascii="Times New Roman" w:hAnsi="Times New Roman" w:cs="Times New Roman"/>
          <w:sz w:val="24"/>
          <w:szCs w:val="24"/>
        </w:rPr>
        <w:t>．</w:t>
      </w:r>
      <w:r>
        <w:rPr>
          <w:rFonts w:hint="eastAsia" w:ascii="Times New Roman" w:hAnsi="Times New Roman" w:cs="Times New Roman"/>
          <w:sz w:val="24"/>
          <w:szCs w:val="24"/>
          <w:lang w:val="zh-CN"/>
        </w:rPr>
        <w:t>就业工作方面的困难的主要表现</w:t>
      </w:r>
      <w:bookmarkEnd w:id="29"/>
    </w:p>
    <w:p>
      <w:pPr>
        <w:pStyle w:val="23"/>
        <w:rPr>
          <w:rFonts w:hAnsi="宋体" w:eastAsia="宋体" w:cs="Times New Roman"/>
          <w:lang w:val="zh-CN"/>
        </w:rPr>
      </w:pPr>
      <w:r>
        <w:rPr>
          <w:rFonts w:hint="eastAsia" w:hAnsi="宋体" w:eastAsia="宋体" w:cs="Times New Roman"/>
          <w:lang w:val="zh-CN"/>
        </w:rPr>
        <w:t>（</w:t>
      </w:r>
      <w:r>
        <w:rPr>
          <w:rFonts w:hint="eastAsia" w:hAnsi="宋体" w:eastAsia="宋体" w:cs="Times New Roman"/>
        </w:rPr>
        <w:t>1</w:t>
      </w:r>
      <w:r>
        <w:rPr>
          <w:rFonts w:hint="eastAsia" w:hAnsi="宋体" w:eastAsia="宋体" w:cs="Times New Roman"/>
          <w:lang w:val="zh-CN"/>
        </w:rPr>
        <w:t>）我校就业指导的工作体系不够完善和人员队伍不够专业化, 作用有待进一步加强。</w:t>
      </w:r>
    </w:p>
    <w:p>
      <w:pPr>
        <w:pStyle w:val="23"/>
        <w:rPr>
          <w:rFonts w:hAnsi="宋体" w:eastAsia="宋体" w:cs="Times New Roman"/>
          <w:lang w:val="zh-CN"/>
        </w:rPr>
      </w:pPr>
      <w:r>
        <w:rPr>
          <w:rFonts w:hint="eastAsia" w:hAnsi="宋体" w:eastAsia="宋体" w:cs="Times New Roman"/>
          <w:lang w:val="zh-CN"/>
        </w:rPr>
        <w:t>（</w:t>
      </w:r>
      <w:r>
        <w:rPr>
          <w:rFonts w:hint="eastAsia" w:hAnsi="宋体" w:eastAsia="宋体" w:cs="Times New Roman"/>
        </w:rPr>
        <w:t>2</w:t>
      </w:r>
      <w:r>
        <w:rPr>
          <w:rFonts w:hint="eastAsia" w:hAnsi="宋体" w:eastAsia="宋体" w:cs="Times New Roman"/>
          <w:lang w:val="zh-CN"/>
        </w:rPr>
        <w:t>）就业指导队伍人员较少，任务繁重，缺乏相应的人员配备，人手相对不足。</w:t>
      </w:r>
    </w:p>
    <w:p>
      <w:pPr>
        <w:pStyle w:val="23"/>
        <w:rPr>
          <w:rFonts w:hAnsi="宋体" w:eastAsia="宋体" w:cs="Times New Roman"/>
          <w:lang w:val="zh-CN"/>
        </w:rPr>
      </w:pPr>
      <w:r>
        <w:rPr>
          <w:rFonts w:hint="eastAsia" w:hAnsi="宋体" w:eastAsia="宋体" w:cs="Times New Roman"/>
          <w:lang w:val="zh-CN"/>
        </w:rPr>
        <w:t>（</w:t>
      </w:r>
      <w:r>
        <w:rPr>
          <w:rFonts w:hint="eastAsia" w:hAnsi="宋体" w:eastAsia="宋体" w:cs="Times New Roman"/>
        </w:rPr>
        <w:t>3</w:t>
      </w:r>
      <w:r>
        <w:rPr>
          <w:rFonts w:hint="eastAsia" w:hAnsi="宋体" w:eastAsia="宋体" w:cs="Times New Roman"/>
          <w:lang w:val="zh-CN"/>
        </w:rPr>
        <w:t>）就业信息相对缺乏且信息更新不及时，不能及时传导市场对所需人才的具体需求。</w:t>
      </w:r>
    </w:p>
    <w:p>
      <w:pPr>
        <w:pStyle w:val="23"/>
        <w:rPr>
          <w:rFonts w:hAnsi="宋体" w:eastAsia="宋体" w:cs="Times New Roman"/>
          <w:lang w:val="zh-CN"/>
        </w:rPr>
      </w:pPr>
      <w:r>
        <w:rPr>
          <w:rFonts w:hint="eastAsia" w:hAnsi="宋体" w:eastAsia="宋体" w:cs="Times New Roman"/>
          <w:lang w:val="zh-CN"/>
        </w:rPr>
        <w:t>（</w:t>
      </w:r>
      <w:r>
        <w:rPr>
          <w:rFonts w:hint="eastAsia" w:hAnsi="宋体" w:eastAsia="宋体" w:cs="Times New Roman"/>
        </w:rPr>
        <w:t>4</w:t>
      </w:r>
      <w:r>
        <w:rPr>
          <w:rFonts w:hint="eastAsia" w:hAnsi="宋体" w:eastAsia="宋体" w:cs="Times New Roman"/>
          <w:lang w:val="zh-CN"/>
        </w:rPr>
        <w:t>）就业指导与服务的针对性和水平有待提高，职业生涯教育有待加强。</w:t>
      </w:r>
    </w:p>
    <w:p>
      <w:pPr>
        <w:pStyle w:val="4"/>
        <w:spacing w:before="0" w:after="0" w:line="360" w:lineRule="auto"/>
        <w:ind w:firstLine="560" w:firstLineChars="200"/>
        <w:rPr>
          <w:b w:val="0"/>
        </w:rPr>
      </w:pPr>
      <w:bookmarkStart w:id="30" w:name="_Toc25352"/>
      <w:r>
        <w:rPr>
          <w:rFonts w:hint="eastAsia"/>
          <w:b w:val="0"/>
          <w:lang w:val="zh-CN"/>
        </w:rPr>
        <w:t>五、今后工作的建议和对策</w:t>
      </w:r>
      <w:bookmarkEnd w:id="30"/>
    </w:p>
    <w:p>
      <w:pPr>
        <w:pStyle w:val="23"/>
        <w:rPr>
          <w:rFonts w:hAnsi="宋体" w:eastAsia="宋体" w:cs="Times New Roman"/>
        </w:rPr>
      </w:pPr>
      <w:r>
        <w:rPr>
          <w:rFonts w:hint="eastAsia" w:hAnsi="宋体" w:eastAsia="宋体" w:cs="Times New Roman"/>
        </w:rPr>
        <w:t>（1）加强就业指导人员的专业性，加强对其的专业性培训，提高专业性和业务能力。</w:t>
      </w:r>
    </w:p>
    <w:p>
      <w:pPr>
        <w:pStyle w:val="23"/>
        <w:rPr>
          <w:rFonts w:hAnsi="宋体" w:eastAsia="宋体" w:cs="Times New Roman"/>
          <w:lang w:val="zh-CN"/>
        </w:rPr>
      </w:pPr>
      <w:r>
        <w:rPr>
          <w:rFonts w:hint="eastAsia" w:hAnsi="宋体" w:eastAsia="宋体" w:cs="Times New Roman"/>
        </w:rPr>
        <w:t>（2）为促进就业信息及时有效的传播，专门</w:t>
      </w:r>
      <w:r>
        <w:rPr>
          <w:rFonts w:hint="eastAsia" w:hAnsi="宋体" w:eastAsia="宋体" w:cs="Times New Roman"/>
          <w:lang w:val="zh-CN"/>
        </w:rPr>
        <w:t>建设需进一步加强，校就业网需加强建设，拓展功能。</w:t>
      </w:r>
    </w:p>
    <w:p>
      <w:pPr>
        <w:pStyle w:val="23"/>
        <w:rPr>
          <w:rFonts w:hAnsi="宋体" w:eastAsia="宋体" w:cs="Times New Roman"/>
          <w:lang w:val="zh-CN"/>
        </w:rPr>
      </w:pPr>
      <w:r>
        <w:rPr>
          <w:rFonts w:hint="eastAsia" w:hAnsi="宋体" w:eastAsia="宋体" w:cs="Times New Roman"/>
          <w:lang w:val="zh-CN"/>
        </w:rPr>
        <w:t>（</w:t>
      </w:r>
      <w:r>
        <w:rPr>
          <w:rFonts w:hint="eastAsia" w:hAnsi="宋体" w:eastAsia="宋体" w:cs="Times New Roman"/>
        </w:rPr>
        <w:t>3</w:t>
      </w:r>
      <w:r>
        <w:rPr>
          <w:rFonts w:hint="eastAsia" w:hAnsi="宋体" w:eastAsia="宋体" w:cs="Times New Roman"/>
          <w:lang w:val="zh-CN"/>
        </w:rPr>
        <w:t>）提高就业指导与服务的针对性和水平，加强职业生涯教育。</w:t>
      </w:r>
    </w:p>
    <w:p>
      <w:pPr>
        <w:pStyle w:val="23"/>
        <w:rPr>
          <w:rFonts w:hAnsi="宋体" w:eastAsia="宋体" w:cs="Times New Roman"/>
          <w:lang w:val="zh-CN"/>
        </w:rPr>
      </w:pPr>
      <w:r>
        <w:rPr>
          <w:rFonts w:hint="eastAsia" w:hAnsi="宋体" w:eastAsia="宋体" w:cs="Times New Roman"/>
          <w:lang w:val="zh-CN"/>
        </w:rPr>
        <w:t>（</w:t>
      </w:r>
      <w:r>
        <w:rPr>
          <w:rFonts w:hint="eastAsia" w:hAnsi="宋体" w:eastAsia="宋体" w:cs="Times New Roman"/>
        </w:rPr>
        <w:t>4</w:t>
      </w:r>
      <w:r>
        <w:rPr>
          <w:rFonts w:hint="eastAsia" w:hAnsi="宋体" w:eastAsia="宋体" w:cs="Times New Roman"/>
          <w:lang w:val="zh-CN"/>
        </w:rPr>
        <w:t>）加强毕业生离校后的联络和毕业生跟踪调查。</w:t>
      </w:r>
    </w:p>
    <w:p>
      <w:pPr>
        <w:pStyle w:val="23"/>
        <w:rPr>
          <w:rFonts w:ascii="黑体" w:hAnsi="黑体" w:eastAsia="黑体" w:cs="黑体"/>
          <w:sz w:val="28"/>
          <w:szCs w:val="28"/>
        </w:rPr>
      </w:pPr>
      <w:r>
        <w:rPr>
          <w:rFonts w:hint="eastAsia" w:hAnsi="宋体" w:eastAsia="宋体" w:cs="Times New Roman"/>
          <w:lang w:val="zh-CN"/>
        </w:rPr>
        <w:t>（</w:t>
      </w:r>
      <w:r>
        <w:rPr>
          <w:rFonts w:hint="eastAsia" w:hAnsi="宋体" w:eastAsia="宋体" w:cs="Times New Roman"/>
        </w:rPr>
        <w:t>5</w:t>
      </w:r>
      <w:r>
        <w:rPr>
          <w:rFonts w:hint="eastAsia" w:hAnsi="宋体" w:eastAsia="宋体" w:cs="Times New Roman"/>
          <w:lang w:val="zh-CN"/>
        </w:rPr>
        <w:t>）就业前加强对学生的心理辅导，解决其心理问题。</w:t>
      </w:r>
    </w:p>
    <w:sectPr>
      <w:pgSz w:w="11906" w:h="16838"/>
      <w:pgMar w:top="1440" w:right="1800" w:bottom="1440" w:left="1800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239"/>
    <w:rsid w:val="00080209"/>
    <w:rsid w:val="00092893"/>
    <w:rsid w:val="000D0304"/>
    <w:rsid w:val="001B28F2"/>
    <w:rsid w:val="001C58E7"/>
    <w:rsid w:val="001C7668"/>
    <w:rsid w:val="001D102A"/>
    <w:rsid w:val="00200753"/>
    <w:rsid w:val="002A7328"/>
    <w:rsid w:val="002B5EF1"/>
    <w:rsid w:val="002E58D2"/>
    <w:rsid w:val="002F22BA"/>
    <w:rsid w:val="002F455D"/>
    <w:rsid w:val="003114B0"/>
    <w:rsid w:val="0039537E"/>
    <w:rsid w:val="003A1A35"/>
    <w:rsid w:val="00416559"/>
    <w:rsid w:val="0047685F"/>
    <w:rsid w:val="00515C76"/>
    <w:rsid w:val="005216F7"/>
    <w:rsid w:val="0057363A"/>
    <w:rsid w:val="007104E4"/>
    <w:rsid w:val="00740B3A"/>
    <w:rsid w:val="0083183A"/>
    <w:rsid w:val="00834430"/>
    <w:rsid w:val="008A1370"/>
    <w:rsid w:val="008B1013"/>
    <w:rsid w:val="008C7A00"/>
    <w:rsid w:val="009219F2"/>
    <w:rsid w:val="00961E7F"/>
    <w:rsid w:val="00A24239"/>
    <w:rsid w:val="00AA40C6"/>
    <w:rsid w:val="00AB437C"/>
    <w:rsid w:val="00BF4CAE"/>
    <w:rsid w:val="00C14D47"/>
    <w:rsid w:val="00C57087"/>
    <w:rsid w:val="00C74F3F"/>
    <w:rsid w:val="00CA3E77"/>
    <w:rsid w:val="00D31FE4"/>
    <w:rsid w:val="00DD5B43"/>
    <w:rsid w:val="00E073E9"/>
    <w:rsid w:val="00E66BBC"/>
    <w:rsid w:val="00EE030C"/>
    <w:rsid w:val="00EE2CC0"/>
    <w:rsid w:val="00F66289"/>
    <w:rsid w:val="00F85C7F"/>
    <w:rsid w:val="01CB7E4D"/>
    <w:rsid w:val="020175E8"/>
    <w:rsid w:val="037F41FC"/>
    <w:rsid w:val="067D60EE"/>
    <w:rsid w:val="06C805A4"/>
    <w:rsid w:val="07E33A60"/>
    <w:rsid w:val="07FF3FCF"/>
    <w:rsid w:val="0CF03441"/>
    <w:rsid w:val="0F5D1B7B"/>
    <w:rsid w:val="112B1183"/>
    <w:rsid w:val="1144151E"/>
    <w:rsid w:val="12BC427D"/>
    <w:rsid w:val="13382BB5"/>
    <w:rsid w:val="14766F46"/>
    <w:rsid w:val="164F7847"/>
    <w:rsid w:val="17924CC6"/>
    <w:rsid w:val="18013652"/>
    <w:rsid w:val="20BA71F0"/>
    <w:rsid w:val="241D2894"/>
    <w:rsid w:val="2447766C"/>
    <w:rsid w:val="265E327B"/>
    <w:rsid w:val="271E2194"/>
    <w:rsid w:val="273D6F7D"/>
    <w:rsid w:val="285A33B9"/>
    <w:rsid w:val="2A7D00B1"/>
    <w:rsid w:val="2B784CE6"/>
    <w:rsid w:val="2C3F5E12"/>
    <w:rsid w:val="2D007115"/>
    <w:rsid w:val="2D6E3A4D"/>
    <w:rsid w:val="2EE1212C"/>
    <w:rsid w:val="2F5B63EE"/>
    <w:rsid w:val="304C6BA8"/>
    <w:rsid w:val="30C14B2F"/>
    <w:rsid w:val="31585279"/>
    <w:rsid w:val="33451ED5"/>
    <w:rsid w:val="3401690D"/>
    <w:rsid w:val="34F13CA0"/>
    <w:rsid w:val="3500604A"/>
    <w:rsid w:val="35C14A97"/>
    <w:rsid w:val="3643579D"/>
    <w:rsid w:val="3A550835"/>
    <w:rsid w:val="3B64348C"/>
    <w:rsid w:val="3B702C51"/>
    <w:rsid w:val="3C934D24"/>
    <w:rsid w:val="3CC562D1"/>
    <w:rsid w:val="3D85445C"/>
    <w:rsid w:val="3DAA4F7B"/>
    <w:rsid w:val="3E991ABD"/>
    <w:rsid w:val="40A35BB9"/>
    <w:rsid w:val="4157785C"/>
    <w:rsid w:val="426A2133"/>
    <w:rsid w:val="427B5D01"/>
    <w:rsid w:val="427E0920"/>
    <w:rsid w:val="42F30A92"/>
    <w:rsid w:val="437A5C24"/>
    <w:rsid w:val="441269E5"/>
    <w:rsid w:val="45896947"/>
    <w:rsid w:val="492649AB"/>
    <w:rsid w:val="4C8732FE"/>
    <w:rsid w:val="4EAE27C8"/>
    <w:rsid w:val="4EBC4334"/>
    <w:rsid w:val="4F7D224F"/>
    <w:rsid w:val="52EB5739"/>
    <w:rsid w:val="53FA25A9"/>
    <w:rsid w:val="558B7560"/>
    <w:rsid w:val="566B1DDC"/>
    <w:rsid w:val="567816B9"/>
    <w:rsid w:val="56EB3692"/>
    <w:rsid w:val="57F31036"/>
    <w:rsid w:val="58371B25"/>
    <w:rsid w:val="5B6948CE"/>
    <w:rsid w:val="5C7E671D"/>
    <w:rsid w:val="5DBB02F6"/>
    <w:rsid w:val="5E5706FF"/>
    <w:rsid w:val="61CB547F"/>
    <w:rsid w:val="64404AC5"/>
    <w:rsid w:val="664E1519"/>
    <w:rsid w:val="68B21FBF"/>
    <w:rsid w:val="69F32F03"/>
    <w:rsid w:val="6A5A5AE3"/>
    <w:rsid w:val="6B40289F"/>
    <w:rsid w:val="6B4F1C3E"/>
    <w:rsid w:val="6B9E7A93"/>
    <w:rsid w:val="6D980332"/>
    <w:rsid w:val="6E250087"/>
    <w:rsid w:val="6E80503A"/>
    <w:rsid w:val="6EC41018"/>
    <w:rsid w:val="70D813CD"/>
    <w:rsid w:val="71283A61"/>
    <w:rsid w:val="71750DAC"/>
    <w:rsid w:val="7253740A"/>
    <w:rsid w:val="74741AA0"/>
    <w:rsid w:val="74AC612E"/>
    <w:rsid w:val="7908317A"/>
    <w:rsid w:val="7AA52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semiHidden="0" w:name="heading 4"/>
    <w:lsdException w:qFormat="1" w:uiPriority="0" w:semiHidden="0" w:name="heading 5"/>
    <w:lsdException w:qFormat="1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qFormat="1" w:unhideWhenUsed="0" w:uiPriority="0" w:semiHidden="0" w:name="toc 4"/>
    <w:lsdException w:qFormat="1" w:unhideWhenUsed="0" w:uiPriority="0" w:semiHidden="0" w:name="toc 5"/>
    <w:lsdException w:qFormat="1"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qFormat="1"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4"/>
    <w:basedOn w:val="1"/>
    <w:next w:val="1"/>
    <w:unhideWhenUsed/>
    <w:qFormat/>
    <w:uiPriority w:val="0"/>
    <w:pPr>
      <w:keepNext/>
      <w:keepLines/>
      <w:spacing w:before="280" w:after="290" w:line="376" w:lineRule="auto"/>
      <w:outlineLvl w:val="3"/>
    </w:pPr>
    <w:rPr>
      <w:rFonts w:ascii="Arial" w:hAnsi="Arial" w:eastAsia="黑体"/>
      <w:b/>
      <w:bCs/>
      <w:sz w:val="28"/>
      <w:szCs w:val="28"/>
    </w:rPr>
  </w:style>
  <w:style w:type="paragraph" w:styleId="5">
    <w:name w:val="heading 5"/>
    <w:basedOn w:val="1"/>
    <w:next w:val="1"/>
    <w:unhideWhenUsed/>
    <w:qFormat/>
    <w:uiPriority w:val="0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1"/>
    <w:next w:val="1"/>
    <w:link w:val="29"/>
    <w:unhideWhenUsed/>
    <w:qFormat/>
    <w:uiPriority w:val="0"/>
    <w:pPr>
      <w:keepNext/>
      <w:keepLines/>
      <w:spacing w:before="240" w:after="64" w:line="320" w:lineRule="auto"/>
      <w:outlineLvl w:val="5"/>
    </w:pPr>
    <w:rPr>
      <w:rFonts w:ascii="Arial" w:hAnsi="Arial" w:eastAsia="黑体"/>
      <w:b/>
      <w:bCs/>
      <w:sz w:val="24"/>
    </w:rPr>
  </w:style>
  <w:style w:type="character" w:default="1" w:styleId="19">
    <w:name w:val="Default Paragraph Font"/>
    <w:semiHidden/>
    <w:unhideWhenUsed/>
    <w:qFormat/>
    <w:uiPriority w:val="1"/>
  </w:style>
  <w:style w:type="table" w:default="1" w:styleId="1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toc 5"/>
    <w:basedOn w:val="1"/>
    <w:next w:val="1"/>
    <w:qFormat/>
    <w:uiPriority w:val="0"/>
    <w:pPr>
      <w:tabs>
        <w:tab w:val="right" w:leader="dot" w:pos="8302"/>
      </w:tabs>
      <w:ind w:left="1680" w:leftChars="258" w:hanging="1138" w:hangingChars="542"/>
    </w:pPr>
  </w:style>
  <w:style w:type="paragraph" w:styleId="8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9">
    <w:name w:val="Balloon Text"/>
    <w:basedOn w:val="1"/>
    <w:link w:val="30"/>
    <w:qFormat/>
    <w:uiPriority w:val="0"/>
    <w:rPr>
      <w:sz w:val="18"/>
      <w:szCs w:val="18"/>
    </w:rPr>
  </w:style>
  <w:style w:type="paragraph" w:styleId="10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1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12">
    <w:name w:val="toc 4"/>
    <w:basedOn w:val="1"/>
    <w:next w:val="1"/>
    <w:qFormat/>
    <w:uiPriority w:val="0"/>
    <w:pPr>
      <w:tabs>
        <w:tab w:val="right" w:leader="dot" w:pos="8302"/>
      </w:tabs>
      <w:jc w:val="center"/>
    </w:pPr>
    <w:rPr>
      <w:rFonts w:ascii="华文中宋" w:hAnsi="华文中宋" w:eastAsia="华文中宋"/>
      <w:sz w:val="36"/>
      <w:szCs w:val="36"/>
      <w:lang w:val="zh-CN"/>
    </w:rPr>
  </w:style>
  <w:style w:type="paragraph" w:styleId="13">
    <w:name w:val="toc 6"/>
    <w:basedOn w:val="1"/>
    <w:next w:val="1"/>
    <w:qFormat/>
    <w:uiPriority w:val="0"/>
    <w:pPr>
      <w:tabs>
        <w:tab w:val="right" w:leader="dot" w:pos="8302"/>
      </w:tabs>
      <w:ind w:left="2100" w:leftChars="429" w:hanging="1199" w:hangingChars="571"/>
    </w:pPr>
  </w:style>
  <w:style w:type="paragraph" w:styleId="14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/>
      <w:kern w:val="0"/>
      <w:sz w:val="24"/>
    </w:rPr>
  </w:style>
  <w:style w:type="paragraph" w:styleId="15">
    <w:name w:val="Normal (Web)"/>
    <w:basedOn w:val="1"/>
    <w:qFormat/>
    <w:uiPriority w:val="0"/>
    <w:pPr>
      <w:widowControl/>
      <w:jc w:val="left"/>
    </w:pPr>
    <w:rPr>
      <w:rFonts w:ascii="宋体" w:hAnsi="宋体"/>
      <w:kern w:val="0"/>
      <w:sz w:val="24"/>
    </w:rPr>
  </w:style>
  <w:style w:type="table" w:styleId="17">
    <w:name w:val="Table Grid"/>
    <w:basedOn w:val="1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8">
    <w:name w:val="Table Theme"/>
    <w:basedOn w:val="1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20">
    <w:name w:val="page number"/>
    <w:basedOn w:val="19"/>
    <w:qFormat/>
    <w:uiPriority w:val="0"/>
  </w:style>
  <w:style w:type="character" w:styleId="21">
    <w:name w:val="Hyperlink"/>
    <w:basedOn w:val="19"/>
    <w:qFormat/>
    <w:uiPriority w:val="0"/>
    <w:rPr>
      <w:color w:val="0000FF"/>
      <w:u w:val="single"/>
    </w:rPr>
  </w:style>
  <w:style w:type="paragraph" w:customStyle="1" w:styleId="22">
    <w:name w:val="Char Char Char Char"/>
    <w:basedOn w:val="1"/>
    <w:qFormat/>
    <w:uiPriority w:val="0"/>
    <w:pPr>
      <w:widowControl/>
      <w:spacing w:after="160" w:line="240" w:lineRule="exact"/>
      <w:jc w:val="left"/>
    </w:pPr>
    <w:rPr>
      <w:szCs w:val="20"/>
    </w:rPr>
  </w:style>
  <w:style w:type="paragraph" w:customStyle="1" w:styleId="23">
    <w:name w:val="正文内容"/>
    <w:basedOn w:val="1"/>
    <w:qFormat/>
    <w:uiPriority w:val="0"/>
    <w:pPr>
      <w:spacing w:line="360" w:lineRule="auto"/>
      <w:ind w:firstLine="480" w:firstLineChars="200"/>
    </w:pPr>
    <w:rPr>
      <w:rFonts w:eastAsia="仿宋_GB2312"/>
      <w:sz w:val="24"/>
      <w:szCs w:val="20"/>
    </w:rPr>
  </w:style>
  <w:style w:type="character" w:customStyle="1" w:styleId="24">
    <w:name w:val="02"/>
    <w:qFormat/>
    <w:uiPriority w:val="0"/>
    <w:rPr>
      <w:rFonts w:eastAsia="仿宋_GB2312"/>
      <w:b/>
      <w:bCs/>
      <w:sz w:val="28"/>
    </w:rPr>
  </w:style>
  <w:style w:type="character" w:customStyle="1" w:styleId="25">
    <w:name w:val="font21"/>
    <w:basedOn w:val="19"/>
    <w:qFormat/>
    <w:uiPriority w:val="0"/>
    <w:rPr>
      <w:rFonts w:hint="default" w:ascii="Tahoma" w:hAnsi="Tahoma" w:eastAsia="Tahoma" w:cs="Tahoma"/>
      <w:color w:val="000000"/>
      <w:sz w:val="22"/>
      <w:szCs w:val="22"/>
      <w:u w:val="none"/>
    </w:rPr>
  </w:style>
  <w:style w:type="character" w:customStyle="1" w:styleId="26">
    <w:name w:val="font11"/>
    <w:basedOn w:val="19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table" w:customStyle="1" w:styleId="27">
    <w:name w:val="表格样式1"/>
    <w:basedOn w:val="16"/>
    <w:qFormat/>
    <w:uiPriority w:val="0"/>
    <w:pPr>
      <w:jc w:val="center"/>
    </w:pPr>
    <w:rPr>
      <w:rFonts w:eastAsia="Times New Roman"/>
      <w:sz w:val="21"/>
    </w:rPr>
    <w:tblPr>
      <w:tblBorders>
        <w:insideV w:val="single" w:color="FFFFFF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tcPr>
        <w:shd w:val="clear" w:color="auto" w:fill="9ABFF0"/>
      </w:tcPr>
    </w:tblStylePr>
    <w:tblStylePr w:type="band1Horz">
      <w:tcPr>
        <w:shd w:val="clear" w:color="auto" w:fill="ECEEEE"/>
      </w:tcPr>
    </w:tblStylePr>
    <w:tblStylePr w:type="band2Horz">
      <w:tcPr>
        <w:shd w:val="clear" w:color="auto" w:fill="CBDCF7"/>
      </w:tcPr>
    </w:tblStylePr>
  </w:style>
  <w:style w:type="paragraph" w:customStyle="1" w:styleId="28">
    <w:name w:val="正文 + (中文) 黑体"/>
    <w:basedOn w:val="1"/>
    <w:qFormat/>
    <w:uiPriority w:val="0"/>
    <w:pPr>
      <w:spacing w:line="360" w:lineRule="auto"/>
      <w:ind w:firstLine="480" w:firstLineChars="200"/>
    </w:pPr>
    <w:rPr>
      <w:sz w:val="24"/>
    </w:rPr>
  </w:style>
  <w:style w:type="character" w:customStyle="1" w:styleId="29">
    <w:name w:val="标题 6 Char"/>
    <w:link w:val="6"/>
    <w:qFormat/>
    <w:uiPriority w:val="0"/>
    <w:rPr>
      <w:rFonts w:ascii="Arial" w:hAnsi="Arial" w:eastAsia="黑体"/>
      <w:b/>
      <w:bCs/>
      <w:sz w:val="24"/>
    </w:rPr>
  </w:style>
  <w:style w:type="character" w:customStyle="1" w:styleId="30">
    <w:name w:val="批注框文本 Char"/>
    <w:basedOn w:val="19"/>
    <w:link w:val="9"/>
    <w:qFormat/>
    <w:uiPriority w:val="0"/>
    <w:rPr>
      <w:rFonts w:ascii="Calibri" w:hAnsi="Calibri" w:cs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7368D47-4423-49C1-84AE-E0068FBA574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1224</Words>
  <Characters>6979</Characters>
  <Lines>58</Lines>
  <Paragraphs>16</Paragraphs>
  <TotalTime>57</TotalTime>
  <ScaleCrop>false</ScaleCrop>
  <LinksUpToDate>false</LinksUpToDate>
  <CharactersWithSpaces>8187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2018-11-13T16:40:00Z</dcterms:created>
  <dc:creator>Administrator</dc:creator>
  <cp:lastModifiedBy>glimpse</cp:lastModifiedBy>
  <dcterms:modified xsi:type="dcterms:W3CDTF">2019-12-26T06:01:06Z</dcterms:modified>
  <dc:title>宁波工程学院2017届毕业生就业工作总结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