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outlineLvl w:val="0"/>
        <w:rPr>
          <w:rFonts w:ascii="黑体" w:hAnsi="黑体" w:eastAsia="黑体" w:cs="Arial"/>
          <w:sz w:val="36"/>
          <w:szCs w:val="36"/>
        </w:rPr>
      </w:pPr>
      <w:bookmarkStart w:id="0" w:name="_Toc405730559"/>
      <w:bookmarkStart w:id="31" w:name="_GoBack"/>
      <w:bookmarkEnd w:id="31"/>
      <w:r>
        <w:rPr>
          <w:rFonts w:hint="eastAsia" w:ascii="黑体" w:hAnsi="黑体" w:eastAsia="黑体" w:cs="Arial"/>
          <w:sz w:val="36"/>
          <w:szCs w:val="36"/>
        </w:rPr>
        <w:t>宁波工程学院2019届毕业生就业质量年度报告</w:t>
      </w:r>
    </w:p>
    <w:p>
      <w:pPr>
        <w:pStyle w:val="8"/>
        <w:spacing w:line="360" w:lineRule="auto"/>
        <w:jc w:val="center"/>
        <w:rPr>
          <w:rFonts w:ascii="黑体" w:hAnsi="黑体" w:eastAsia="黑体"/>
          <w:sz w:val="15"/>
          <w:szCs w:val="15"/>
        </w:rPr>
      </w:pPr>
    </w:p>
    <w:bookmarkEnd w:id="0"/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  <w:lang w:val="zh-CN"/>
        </w:rPr>
        <w:t>我校高度重视</w:t>
      </w:r>
      <w:r>
        <w:rPr>
          <w:rFonts w:hint="eastAsia" w:ascii="Times New Roman" w:hAnsi="Times New Roman" w:eastAsia="宋体" w:cs="Times New Roman"/>
          <w:lang w:val="zh-CN"/>
        </w:rPr>
        <w:t>201</w:t>
      </w:r>
      <w:r>
        <w:rPr>
          <w:rFonts w:hint="eastAsia" w:ascii="Times New Roman" w:hAnsi="Times New Roman" w:eastAsia="宋体" w:cs="Times New Roman"/>
        </w:rPr>
        <w:t>9</w:t>
      </w:r>
      <w:r>
        <w:rPr>
          <w:rFonts w:hint="eastAsia" w:hAnsi="宋体" w:eastAsia="宋体" w:cs="Times New Roman"/>
          <w:lang w:val="zh-CN"/>
        </w:rPr>
        <w:t>届毕业生就业工作，按照国家有关毕业生就业方针、政策和规定，不断加强对学生的组织领导、创新就业工作机制、开拓就业市场、提高就业服务水平。在省、市教育主管部门、人力和社会保障主管部门的指导和关怀下，经过全校各部门、各学院和广大师生的共同努力，截至</w:t>
      </w:r>
      <w:r>
        <w:rPr>
          <w:rFonts w:hint="eastAsia" w:ascii="Times New Roman" w:hAnsi="Times New Roman" w:eastAsia="宋体" w:cs="Times New Roman"/>
          <w:lang w:val="zh-CN"/>
        </w:rPr>
        <w:t>201</w:t>
      </w:r>
      <w:r>
        <w:rPr>
          <w:rFonts w:hint="eastAsia" w:ascii="Times New Roman" w:hAnsi="Times New Roman" w:eastAsia="宋体" w:cs="Times New Roman"/>
        </w:rPr>
        <w:t>9</w:t>
      </w:r>
      <w:r>
        <w:rPr>
          <w:rFonts w:hint="eastAsia" w:hAnsi="宋体" w:eastAsia="宋体" w:cs="Times New Roman"/>
          <w:lang w:val="zh-CN"/>
        </w:rPr>
        <w:t>年</w:t>
      </w:r>
      <w:r>
        <w:rPr>
          <w:rFonts w:hint="eastAsia" w:ascii="Times New Roman" w:hAnsi="Times New Roman" w:eastAsia="宋体" w:cs="Times New Roman"/>
          <w:lang w:val="zh-CN"/>
        </w:rPr>
        <w:t>8</w:t>
      </w:r>
      <w:r>
        <w:rPr>
          <w:rFonts w:hint="eastAsia" w:hAnsi="宋体" w:eastAsia="宋体" w:cs="Times New Roman"/>
          <w:lang w:val="zh-CN"/>
        </w:rPr>
        <w:t>月</w:t>
      </w:r>
      <w:r>
        <w:rPr>
          <w:rFonts w:hint="eastAsia" w:ascii="Times New Roman" w:hAnsi="Times New Roman" w:eastAsia="宋体" w:cs="Times New Roman"/>
          <w:lang w:val="zh-CN"/>
        </w:rPr>
        <w:t>31</w:t>
      </w:r>
      <w:r>
        <w:rPr>
          <w:rFonts w:hint="eastAsia" w:hAnsi="宋体" w:eastAsia="宋体" w:cs="Times New Roman"/>
          <w:lang w:val="zh-CN"/>
        </w:rPr>
        <w:t>日，我校毕业生的就业率为</w:t>
      </w:r>
      <w:r>
        <w:rPr>
          <w:rFonts w:hint="eastAsia" w:ascii="Times New Roman" w:hAnsi="Times New Roman" w:eastAsia="宋体" w:cs="Times New Roman"/>
        </w:rPr>
        <w:t>97.63%</w:t>
      </w:r>
      <w:r>
        <w:rPr>
          <w:rFonts w:hint="eastAsia" w:hAnsi="宋体" w:eastAsia="宋体" w:cs="Times New Roman"/>
          <w:lang w:val="zh-CN"/>
        </w:rPr>
        <w:t>，签约率为</w:t>
      </w:r>
      <w:r>
        <w:rPr>
          <w:rFonts w:hint="eastAsia" w:ascii="Times New Roman" w:hAnsi="Times New Roman" w:eastAsia="宋体" w:cs="Times New Roman"/>
        </w:rPr>
        <w:t>93.12%</w:t>
      </w:r>
      <w:r>
        <w:rPr>
          <w:rFonts w:hint="eastAsia" w:hAnsi="宋体" w:eastAsia="宋体" w:cs="Times New Roman"/>
          <w:lang w:val="zh-CN"/>
        </w:rPr>
        <w:t>，圆满完成</w:t>
      </w:r>
      <w:r>
        <w:rPr>
          <w:rFonts w:hint="eastAsia" w:ascii="Times New Roman" w:hAnsi="Times New Roman" w:eastAsia="宋体" w:cs="Times New Roman"/>
          <w:lang w:val="zh-CN"/>
        </w:rPr>
        <w:t>201</w:t>
      </w:r>
      <w:r>
        <w:rPr>
          <w:rFonts w:hint="eastAsia" w:ascii="Times New Roman" w:hAnsi="Times New Roman" w:eastAsia="宋体" w:cs="Times New Roman"/>
        </w:rPr>
        <w:t>9</w:t>
      </w:r>
      <w:r>
        <w:rPr>
          <w:rFonts w:hint="eastAsia" w:hAnsi="宋体" w:eastAsia="宋体" w:cs="Times New Roman"/>
          <w:lang w:val="zh-CN"/>
        </w:rPr>
        <w:t>届毕业生就业工作目标。</w:t>
      </w:r>
    </w:p>
    <w:p>
      <w:pPr>
        <w:pStyle w:val="4"/>
        <w:spacing w:before="0" w:after="0" w:line="360" w:lineRule="auto"/>
        <w:ind w:firstLine="560" w:firstLineChars="200"/>
        <w:rPr>
          <w:b w:val="0"/>
        </w:rPr>
      </w:pPr>
      <w:bookmarkStart w:id="1" w:name="_Toc5384"/>
      <w:r>
        <w:rPr>
          <w:b w:val="0"/>
        </w:rPr>
        <w:t>一、</w:t>
      </w:r>
      <w:r>
        <w:rPr>
          <w:rFonts w:hint="eastAsia"/>
          <w:b w:val="0"/>
        </w:rPr>
        <w:t>就业</w:t>
      </w:r>
      <w:r>
        <w:rPr>
          <w:b w:val="0"/>
        </w:rPr>
        <w:t>基本情况</w:t>
      </w:r>
      <w:bookmarkEnd w:id="1"/>
      <w:bookmarkStart w:id="2" w:name="_Toc10067"/>
    </w:p>
    <w:p>
      <w:pPr>
        <w:pStyle w:val="4"/>
        <w:spacing w:before="0" w:after="0" w:line="360" w:lineRule="auto"/>
        <w:ind w:firstLine="482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．毕业生规模与结构</w:t>
      </w:r>
      <w:bookmarkEnd w:id="2"/>
    </w:p>
    <w:p>
      <w:pPr>
        <w:pStyle w:val="23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201</w:t>
      </w:r>
      <w:r>
        <w:rPr>
          <w:rFonts w:hint="eastAsia" w:ascii="宋体" w:hAnsi="宋体" w:eastAsia="宋体" w:cs="宋体"/>
        </w:rPr>
        <w:t>9</w:t>
      </w:r>
      <w:r>
        <w:rPr>
          <w:rFonts w:hint="eastAsia" w:ascii="宋体" w:hAnsi="宋体" w:eastAsia="宋体" w:cs="宋体"/>
          <w:lang w:val="zh-CN"/>
        </w:rPr>
        <w:t>年我校共有</w:t>
      </w:r>
      <w:r>
        <w:rPr>
          <w:rFonts w:hint="eastAsia" w:ascii="宋体" w:hAnsi="宋体" w:eastAsia="宋体" w:cs="宋体"/>
        </w:rPr>
        <w:t>3502</w:t>
      </w:r>
      <w:r>
        <w:rPr>
          <w:rFonts w:hint="eastAsia" w:ascii="宋体" w:hAnsi="宋体" w:eastAsia="宋体" w:cs="宋体"/>
          <w:lang w:val="zh-CN"/>
        </w:rPr>
        <w:t>名毕业生，全部为本科生，涉及工学、理学、文学、经济学、管理学5</w:t>
      </w:r>
      <w:r>
        <w:rPr>
          <w:rFonts w:hint="eastAsia" w:ascii="宋体" w:hAnsi="宋体" w:eastAsia="宋体" w:cs="宋体"/>
          <w:lang w:val="zh-CN" w:eastAsia="zh-CN"/>
        </w:rPr>
        <w:t>大学科门类，</w:t>
      </w:r>
      <w:r>
        <w:rPr>
          <w:rFonts w:hint="eastAsia" w:ascii="宋体" w:hAnsi="宋体" w:eastAsia="宋体" w:cs="宋体"/>
          <w:lang w:val="en-US" w:eastAsia="zh-CN"/>
        </w:rPr>
        <w:t>40</w:t>
      </w:r>
      <w:r>
        <w:rPr>
          <w:rFonts w:hint="eastAsia" w:ascii="宋体" w:hAnsi="宋体" w:eastAsia="宋体" w:cs="宋体"/>
          <w:lang w:val="zh-CN" w:eastAsia="zh-CN"/>
        </w:rPr>
        <w:t>个专业。</w:t>
      </w:r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  <w:lang w:val="zh-CN"/>
        </w:rPr>
        <w:t>省内毕业生人数占总毕业生人数的</w:t>
      </w:r>
      <w:r>
        <w:rPr>
          <w:rFonts w:hint="eastAsia" w:ascii="Times New Roman" w:hAnsi="Times New Roman" w:eastAsia="宋体" w:cs="Times New Roman"/>
        </w:rPr>
        <w:t>72.46%</w:t>
      </w:r>
      <w:r>
        <w:rPr>
          <w:rFonts w:hint="eastAsia" w:hAnsi="宋体" w:eastAsia="宋体" w:cs="Times New Roman"/>
          <w:lang w:val="zh-CN"/>
        </w:rPr>
        <w:t>，外省毕业生占</w:t>
      </w:r>
      <w:r>
        <w:rPr>
          <w:rFonts w:hint="eastAsia" w:ascii="Times New Roman" w:hAnsi="Times New Roman" w:eastAsia="宋体" w:cs="Times New Roman"/>
        </w:rPr>
        <w:t>27.54%</w:t>
      </w:r>
      <w:r>
        <w:rPr>
          <w:rFonts w:hint="eastAsia" w:hAnsi="宋体" w:eastAsia="宋体" w:cs="Times New Roman"/>
          <w:lang w:val="zh-CN"/>
        </w:rPr>
        <w:t>，较</w:t>
      </w:r>
      <w:r>
        <w:rPr>
          <w:rFonts w:hint="eastAsia" w:ascii="Times New Roman" w:hAnsi="Times New Roman" w:eastAsia="宋体" w:cs="Times New Roman"/>
        </w:rPr>
        <w:t>2018</w:t>
      </w:r>
      <w:r>
        <w:rPr>
          <w:rFonts w:hint="eastAsia" w:hAnsi="宋体" w:eastAsia="宋体" w:cs="Times New Roman"/>
          <w:lang w:val="zh-CN"/>
        </w:rPr>
        <w:t>届毕业生增加</w:t>
      </w:r>
      <w:r>
        <w:rPr>
          <w:rFonts w:hint="eastAsia" w:ascii="Times New Roman" w:hAnsi="Times New Roman" w:eastAsia="宋体" w:cs="Times New Roman"/>
        </w:rPr>
        <w:t>3.55%</w:t>
      </w:r>
      <w:r>
        <w:rPr>
          <w:rFonts w:hint="eastAsia" w:hAnsi="宋体" w:eastAsia="宋体" w:cs="Times New Roman"/>
          <w:lang w:val="zh-CN"/>
        </w:rPr>
        <w:t>。省内生源以宁波、杭州、绍兴等附近城市为主。分别占</w:t>
      </w:r>
      <w:r>
        <w:rPr>
          <w:rFonts w:hint="eastAsia" w:ascii="Times New Roman" w:hAnsi="Times New Roman" w:eastAsia="宋体" w:cs="Times New Roman"/>
        </w:rPr>
        <w:t>14.39</w:t>
      </w:r>
      <w:r>
        <w:rPr>
          <w:rFonts w:hint="eastAsia" w:ascii="Times New Roman" w:hAnsi="Times New Roman" w:eastAsia="宋体" w:cs="Times New Roman"/>
          <w:lang w:val="zh-CN"/>
        </w:rPr>
        <w:t>%</w:t>
      </w:r>
      <w:r>
        <w:rPr>
          <w:rFonts w:hint="eastAsia" w:hAnsi="宋体" w:eastAsia="宋体" w:cs="Times New Roman"/>
          <w:lang w:val="zh-CN"/>
        </w:rPr>
        <w:t>、</w:t>
      </w:r>
      <w:r>
        <w:rPr>
          <w:rFonts w:hint="eastAsia" w:ascii="Times New Roman" w:hAnsi="Times New Roman" w:eastAsia="宋体" w:cs="Times New Roman"/>
          <w:lang w:val="zh-CN"/>
        </w:rPr>
        <w:t>9.88%</w:t>
      </w:r>
      <w:r>
        <w:rPr>
          <w:rFonts w:hint="eastAsia" w:hAnsi="宋体" w:eastAsia="宋体" w:cs="Times New Roman"/>
          <w:lang w:val="zh-CN"/>
        </w:rPr>
        <w:t>和</w:t>
      </w:r>
      <w:r>
        <w:rPr>
          <w:rFonts w:hint="eastAsia" w:ascii="Times New Roman" w:hAnsi="Times New Roman" w:eastAsia="宋体" w:cs="Times New Roman"/>
          <w:lang w:val="zh-CN"/>
        </w:rPr>
        <w:t>8.99%</w:t>
      </w:r>
      <w:r>
        <w:rPr>
          <w:rFonts w:hint="eastAsia" w:hAnsi="宋体" w:eastAsia="宋体" w:cs="Times New Roman"/>
          <w:lang w:val="zh-CN"/>
        </w:rPr>
        <w:t>。毕业生生源地区分布详见表一。</w:t>
      </w:r>
    </w:p>
    <w:p>
      <w:pPr>
        <w:pStyle w:val="28"/>
        <w:tabs>
          <w:tab w:val="left" w:pos="825"/>
        </w:tabs>
        <w:ind w:left="542" w:firstLine="0" w:firstLineChars="0"/>
        <w:jc w:val="center"/>
        <w:rPr>
          <w:rFonts w:hAnsi="宋体" w:cs="Times New Roman"/>
          <w:lang w:val="zh-CN"/>
        </w:rPr>
      </w:pPr>
      <w:bookmarkStart w:id="3" w:name="_Toc26285"/>
      <w:r>
        <w:rPr>
          <w:rFonts w:hint="eastAsia" w:eastAsia="黑体"/>
          <w:b/>
          <w:bCs/>
          <w:lang w:val="zh-CN"/>
        </w:rPr>
        <w:t xml:space="preserve">表一  </w:t>
      </w:r>
      <w:r>
        <w:rPr>
          <w:rFonts w:hint="eastAsia" w:ascii="黑体" w:hAnsi="Times New Roman" w:eastAsia="黑体" w:cs="Times New Roman"/>
          <w:sz w:val="21"/>
          <w:szCs w:val="21"/>
        </w:rPr>
        <w:t>2019</w:t>
      </w:r>
      <w:r>
        <w:rPr>
          <w:rFonts w:hint="eastAsia" w:eastAsia="黑体"/>
          <w:b/>
          <w:bCs/>
          <w:lang w:val="zh-CN"/>
        </w:rPr>
        <w:t>届毕业生生源地区分布情况</w:t>
      </w:r>
    </w:p>
    <w:tbl>
      <w:tblPr>
        <w:tblStyle w:val="16"/>
        <w:tblW w:w="8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FFFFFF" w:sz="4" w:space="0"/>
        </w:tblBorders>
        <w:shd w:val="clear" w:color="auto" w:fill="8DB3E2" w:themeFill="text2" w:themeFillTint="66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623"/>
        <w:gridCol w:w="634"/>
        <w:gridCol w:w="571"/>
        <w:gridCol w:w="571"/>
        <w:gridCol w:w="571"/>
        <w:gridCol w:w="634"/>
        <w:gridCol w:w="571"/>
        <w:gridCol w:w="571"/>
        <w:gridCol w:w="571"/>
        <w:gridCol w:w="571"/>
        <w:gridCol w:w="571"/>
        <w:gridCol w:w="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shd w:val="clear" w:color="auto" w:fill="8DB3E2" w:themeFill="text2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hAnsi="宋体" w:eastAsia="Times New Roman"/>
                <w:b/>
              </w:rPr>
              <w:t>地区</w:t>
            </w:r>
          </w:p>
        </w:tc>
        <w:tc>
          <w:tcPr>
            <w:tcW w:w="623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杭州</w:t>
            </w:r>
          </w:p>
        </w:tc>
        <w:tc>
          <w:tcPr>
            <w:tcW w:w="634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宁波</w:t>
            </w:r>
          </w:p>
        </w:tc>
        <w:tc>
          <w:tcPr>
            <w:tcW w:w="57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温州</w:t>
            </w:r>
          </w:p>
        </w:tc>
        <w:tc>
          <w:tcPr>
            <w:tcW w:w="57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嘉兴</w:t>
            </w:r>
          </w:p>
        </w:tc>
        <w:tc>
          <w:tcPr>
            <w:tcW w:w="57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湖州</w:t>
            </w:r>
          </w:p>
        </w:tc>
        <w:tc>
          <w:tcPr>
            <w:tcW w:w="634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绍兴</w:t>
            </w:r>
          </w:p>
        </w:tc>
        <w:tc>
          <w:tcPr>
            <w:tcW w:w="57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金华</w:t>
            </w:r>
          </w:p>
        </w:tc>
        <w:tc>
          <w:tcPr>
            <w:tcW w:w="57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衢州</w:t>
            </w:r>
          </w:p>
        </w:tc>
        <w:tc>
          <w:tcPr>
            <w:tcW w:w="57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舟山</w:t>
            </w:r>
          </w:p>
        </w:tc>
        <w:tc>
          <w:tcPr>
            <w:tcW w:w="57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台州</w:t>
            </w:r>
          </w:p>
        </w:tc>
        <w:tc>
          <w:tcPr>
            <w:tcW w:w="57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丽水</w:t>
            </w:r>
          </w:p>
        </w:tc>
        <w:tc>
          <w:tcPr>
            <w:tcW w:w="62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外省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81" w:type="dxa"/>
            <w:shd w:val="clear" w:color="auto" w:fill="FFFFFF" w:themeFill="background1" w:themeFillShade="F2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人数</w:t>
            </w:r>
          </w:p>
        </w:tc>
        <w:tc>
          <w:tcPr>
            <w:tcW w:w="623" w:type="dxa"/>
            <w:shd w:val="clear" w:color="auto" w:fill="FFFFFF" w:themeFill="background1" w:themeFillShade="F2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eastAsia="Times New Roman"/>
                <w:szCs w:val="21"/>
              </w:rPr>
              <w:t>346</w:t>
            </w:r>
          </w:p>
        </w:tc>
        <w:tc>
          <w:tcPr>
            <w:tcW w:w="634" w:type="dxa"/>
            <w:shd w:val="clear" w:color="auto" w:fill="FFFFFF" w:themeFill="background1" w:themeFillShade="F2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504</w:t>
            </w:r>
          </w:p>
        </w:tc>
        <w:tc>
          <w:tcPr>
            <w:tcW w:w="571" w:type="dxa"/>
            <w:shd w:val="clear" w:color="auto" w:fill="FFFFFF" w:themeFill="background1" w:themeFillShade="F2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252</w:t>
            </w:r>
          </w:p>
        </w:tc>
        <w:tc>
          <w:tcPr>
            <w:tcW w:w="571" w:type="dxa"/>
            <w:shd w:val="clear" w:color="auto" w:fill="FFFFFF" w:themeFill="background1" w:themeFillShade="F2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218</w:t>
            </w:r>
          </w:p>
        </w:tc>
        <w:tc>
          <w:tcPr>
            <w:tcW w:w="571" w:type="dxa"/>
            <w:shd w:val="clear" w:color="auto" w:fill="FFFFFF" w:themeFill="background1" w:themeFillShade="F2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148</w:t>
            </w:r>
          </w:p>
        </w:tc>
        <w:tc>
          <w:tcPr>
            <w:tcW w:w="634" w:type="dxa"/>
            <w:shd w:val="clear" w:color="auto" w:fill="FFFFFF" w:themeFill="background1" w:themeFillShade="F2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315</w:t>
            </w:r>
          </w:p>
        </w:tc>
        <w:tc>
          <w:tcPr>
            <w:tcW w:w="571" w:type="dxa"/>
            <w:shd w:val="clear" w:color="auto" w:fill="FFFFFF" w:themeFill="background1" w:themeFillShade="F2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244</w:t>
            </w:r>
          </w:p>
        </w:tc>
        <w:tc>
          <w:tcPr>
            <w:tcW w:w="571" w:type="dxa"/>
            <w:shd w:val="clear" w:color="auto" w:fill="FFFFFF" w:themeFill="background1" w:themeFillShade="F2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127</w:t>
            </w:r>
          </w:p>
        </w:tc>
        <w:tc>
          <w:tcPr>
            <w:tcW w:w="571" w:type="dxa"/>
            <w:shd w:val="clear" w:color="auto" w:fill="FFFFFF" w:themeFill="background1" w:themeFillShade="F2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41</w:t>
            </w:r>
          </w:p>
        </w:tc>
        <w:tc>
          <w:tcPr>
            <w:tcW w:w="571" w:type="dxa"/>
            <w:shd w:val="clear" w:color="auto" w:fill="FFFFFF" w:themeFill="background1" w:themeFillShade="F2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252</w:t>
            </w:r>
          </w:p>
        </w:tc>
        <w:tc>
          <w:tcPr>
            <w:tcW w:w="571" w:type="dxa"/>
            <w:shd w:val="clear" w:color="auto" w:fill="FFFFFF" w:themeFill="background1" w:themeFillShade="F2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90</w:t>
            </w:r>
          </w:p>
        </w:tc>
        <w:tc>
          <w:tcPr>
            <w:tcW w:w="628" w:type="dxa"/>
            <w:shd w:val="clear" w:color="auto" w:fill="FFFFFF" w:themeFill="background1" w:themeFillShade="F2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百分比%</w:t>
            </w:r>
          </w:p>
        </w:tc>
        <w:tc>
          <w:tcPr>
            <w:tcW w:w="623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9.88</w:t>
            </w:r>
          </w:p>
        </w:tc>
        <w:tc>
          <w:tcPr>
            <w:tcW w:w="634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14.39</w:t>
            </w:r>
          </w:p>
        </w:tc>
        <w:tc>
          <w:tcPr>
            <w:tcW w:w="57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7.20</w:t>
            </w:r>
          </w:p>
        </w:tc>
        <w:tc>
          <w:tcPr>
            <w:tcW w:w="57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6.23</w:t>
            </w:r>
          </w:p>
        </w:tc>
        <w:tc>
          <w:tcPr>
            <w:tcW w:w="57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4.23</w:t>
            </w:r>
          </w:p>
        </w:tc>
        <w:tc>
          <w:tcPr>
            <w:tcW w:w="634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8.99</w:t>
            </w:r>
          </w:p>
        </w:tc>
        <w:tc>
          <w:tcPr>
            <w:tcW w:w="57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6.97</w:t>
            </w:r>
          </w:p>
        </w:tc>
        <w:tc>
          <w:tcPr>
            <w:tcW w:w="57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3.63</w:t>
            </w:r>
          </w:p>
        </w:tc>
        <w:tc>
          <w:tcPr>
            <w:tcW w:w="57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1.17</w:t>
            </w:r>
          </w:p>
        </w:tc>
        <w:tc>
          <w:tcPr>
            <w:tcW w:w="57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7.20</w:t>
            </w:r>
          </w:p>
        </w:tc>
        <w:tc>
          <w:tcPr>
            <w:tcW w:w="57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2.57</w:t>
            </w:r>
          </w:p>
        </w:tc>
        <w:tc>
          <w:tcPr>
            <w:tcW w:w="62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27.54</w:t>
            </w:r>
          </w:p>
        </w:tc>
      </w:tr>
    </w:tbl>
    <w:p>
      <w:pPr>
        <w:pStyle w:val="5"/>
        <w:spacing w:before="0" w:after="0" w:line="360" w:lineRule="auto"/>
        <w:ind w:firstLine="472" w:firstLineChars="196"/>
        <w:rPr>
          <w:rFonts w:hint="eastAsia" w:cs="Times New Roman" w:asciiTheme="minorEastAsia" w:hAnsiTheme="minorEastAsia" w:eastAsiaTheme="minorEastAsia"/>
          <w:sz w:val="24"/>
          <w:szCs w:val="24"/>
          <w:lang w:val="zh-CN"/>
        </w:rPr>
      </w:pPr>
    </w:p>
    <w:p>
      <w:pPr>
        <w:pStyle w:val="5"/>
        <w:spacing w:before="0" w:after="0" w:line="360" w:lineRule="auto"/>
        <w:ind w:firstLine="472" w:firstLineChars="196"/>
        <w:rPr>
          <w:rFonts w:cs="Times New Roman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  <w:lang w:val="zh-CN"/>
        </w:rPr>
        <w:t>2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．毕业生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zh-CN"/>
        </w:rPr>
        <w:t>就业情况</w:t>
      </w:r>
      <w:bookmarkEnd w:id="3"/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  <w:lang w:val="zh-CN"/>
        </w:rPr>
        <w:t>由于国家政策的鼓励以及社会经济快速发展对人才的渴求，在学校全体师生的共同努力下，学校今年整体就业形势依旧呈良好态势，整体就业率达到</w:t>
      </w:r>
      <w:r>
        <w:rPr>
          <w:rFonts w:hint="eastAsia" w:ascii="Times New Roman" w:hAnsi="Times New Roman" w:eastAsia="宋体" w:cs="Times New Roman"/>
        </w:rPr>
        <w:t>97.63%</w:t>
      </w:r>
      <w:r>
        <w:rPr>
          <w:rFonts w:hint="eastAsia" w:hAnsi="宋体" w:eastAsia="宋体" w:cs="Times New Roman"/>
          <w:lang w:val="zh-CN"/>
        </w:rPr>
        <w:t>，圆满完成</w:t>
      </w:r>
      <w:r>
        <w:rPr>
          <w:rFonts w:hint="eastAsia" w:ascii="Times New Roman" w:hAnsi="Times New Roman" w:eastAsia="宋体" w:cs="Times New Roman"/>
          <w:lang w:val="zh-CN"/>
        </w:rPr>
        <w:t>95%</w:t>
      </w:r>
      <w:r>
        <w:rPr>
          <w:rFonts w:hint="eastAsia" w:hAnsi="宋体" w:eastAsia="宋体" w:cs="Times New Roman"/>
          <w:lang w:val="zh-CN"/>
        </w:rPr>
        <w:t>的年度目标。就业率排名前三位的分别是材料与化学工程学院（</w:t>
      </w:r>
      <w:r>
        <w:rPr>
          <w:rFonts w:hint="eastAsia" w:ascii="Times New Roman" w:hAnsi="Times New Roman" w:eastAsia="宋体" w:cs="Times New Roman"/>
        </w:rPr>
        <w:t>99.39%</w:t>
      </w:r>
      <w:r>
        <w:rPr>
          <w:rFonts w:hint="eastAsia" w:hAnsi="宋体" w:eastAsia="宋体" w:cs="Times New Roman"/>
        </w:rPr>
        <w:t>)、建筑与交通工程学院（</w:t>
      </w:r>
      <w:r>
        <w:rPr>
          <w:rFonts w:ascii="Times New Roman" w:hAnsi="Times New Roman" w:eastAsia="宋体" w:cs="Times New Roman"/>
        </w:rPr>
        <w:t>99.</w:t>
      </w:r>
      <w:r>
        <w:rPr>
          <w:rFonts w:hint="eastAsia" w:ascii="Times New Roman" w:hAnsi="Times New Roman" w:eastAsia="宋体" w:cs="Times New Roman"/>
        </w:rPr>
        <w:t>28</w:t>
      </w:r>
      <w:r>
        <w:rPr>
          <w:rFonts w:ascii="Times New Roman" w:hAnsi="Times New Roman" w:eastAsia="宋体" w:cs="Times New Roman"/>
        </w:rPr>
        <w:t>%</w:t>
      </w:r>
      <w:r>
        <w:rPr>
          <w:rFonts w:hint="eastAsia" w:hAnsi="宋体" w:eastAsia="宋体" w:cs="Times New Roman"/>
        </w:rPr>
        <w:t>）、经济与管理学院（</w:t>
      </w:r>
      <w:r>
        <w:rPr>
          <w:rFonts w:hint="eastAsia" w:ascii="Times New Roman" w:hAnsi="Times New Roman" w:eastAsia="宋体" w:cs="Times New Roman"/>
        </w:rPr>
        <w:t>99.22%</w:t>
      </w:r>
      <w:r>
        <w:rPr>
          <w:rFonts w:hint="eastAsia" w:hAnsi="宋体" w:eastAsia="宋体" w:cs="Times New Roman"/>
        </w:rPr>
        <w:t>）</w:t>
      </w:r>
      <w:r>
        <w:rPr>
          <w:rFonts w:hint="eastAsia" w:hAnsi="宋体" w:eastAsia="宋体" w:cs="Times New Roman"/>
          <w:lang w:val="zh-CN"/>
        </w:rPr>
        <w:t>，各学院的就业率排名情况见表二。</w:t>
      </w:r>
    </w:p>
    <w:p>
      <w:pPr>
        <w:pStyle w:val="23"/>
        <w:rPr>
          <w:rFonts w:hAnsi="宋体" w:eastAsia="宋体" w:cs="Times New Roman"/>
          <w:lang w:val="zh-CN"/>
        </w:rPr>
      </w:pPr>
    </w:p>
    <w:p>
      <w:pPr>
        <w:pStyle w:val="23"/>
        <w:ind w:firstLine="0" w:firstLineChars="0"/>
        <w:jc w:val="center"/>
        <w:rPr>
          <w:rFonts w:eastAsia="黑体"/>
          <w:b/>
          <w:bCs/>
          <w:szCs w:val="22"/>
          <w:lang w:val="zh-CN"/>
        </w:rPr>
      </w:pPr>
      <w:r>
        <w:rPr>
          <w:rFonts w:hint="eastAsia" w:eastAsia="黑体"/>
          <w:b/>
          <w:bCs/>
          <w:szCs w:val="22"/>
          <w:lang w:val="zh-CN"/>
        </w:rPr>
        <w:t>表二  各学院就业率及排名</w:t>
      </w:r>
    </w:p>
    <w:tbl>
      <w:tblPr>
        <w:tblStyle w:val="16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1695"/>
        <w:gridCol w:w="1485"/>
        <w:gridCol w:w="1350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学院</w:t>
            </w:r>
          </w:p>
        </w:tc>
        <w:tc>
          <w:tcPr>
            <w:tcW w:w="169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毕业生人数</w:t>
            </w:r>
          </w:p>
        </w:tc>
        <w:tc>
          <w:tcPr>
            <w:tcW w:w="14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就业人数</w:t>
            </w:r>
          </w:p>
        </w:tc>
        <w:tc>
          <w:tcPr>
            <w:tcW w:w="135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就业率</w:t>
            </w:r>
          </w:p>
        </w:tc>
        <w:tc>
          <w:tcPr>
            <w:tcW w:w="85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eastAsia="Times New Roman"/>
                <w:kern w:val="0"/>
              </w:rPr>
              <w:t>材料与化学工程学院</w:t>
            </w:r>
          </w:p>
        </w:tc>
        <w:tc>
          <w:tcPr>
            <w:tcW w:w="169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329</w:t>
            </w:r>
          </w:p>
        </w:tc>
        <w:tc>
          <w:tcPr>
            <w:tcW w:w="14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327</w:t>
            </w:r>
          </w:p>
        </w:tc>
        <w:tc>
          <w:tcPr>
            <w:tcW w:w="135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99.39%</w:t>
            </w:r>
          </w:p>
        </w:tc>
        <w:tc>
          <w:tcPr>
            <w:tcW w:w="859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ascii="宋体" w:hAnsi="宋体" w:eastAsia="Times New Roman"/>
                <w:kern w:val="0"/>
              </w:rPr>
              <w:t>建筑与交通工程学院</w:t>
            </w:r>
          </w:p>
        </w:tc>
        <w:tc>
          <w:tcPr>
            <w:tcW w:w="169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416</w:t>
            </w:r>
          </w:p>
        </w:tc>
        <w:tc>
          <w:tcPr>
            <w:tcW w:w="14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413</w:t>
            </w:r>
          </w:p>
        </w:tc>
        <w:tc>
          <w:tcPr>
            <w:tcW w:w="135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99.28%</w:t>
            </w:r>
          </w:p>
        </w:tc>
        <w:tc>
          <w:tcPr>
            <w:tcW w:w="85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 w:eastAsia="Times New Roman"/>
                <w:kern w:val="0"/>
              </w:rPr>
              <w:t>经济与管理学院</w:t>
            </w:r>
          </w:p>
        </w:tc>
        <w:tc>
          <w:tcPr>
            <w:tcW w:w="169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639</w:t>
            </w:r>
          </w:p>
        </w:tc>
        <w:tc>
          <w:tcPr>
            <w:tcW w:w="14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634</w:t>
            </w:r>
          </w:p>
        </w:tc>
        <w:tc>
          <w:tcPr>
            <w:tcW w:w="135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99.22%</w:t>
            </w:r>
          </w:p>
        </w:tc>
        <w:tc>
          <w:tcPr>
            <w:tcW w:w="859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 w:eastAsia="Times New Roman"/>
                <w:kern w:val="0"/>
              </w:rPr>
              <w:t>机械工程学院</w:t>
            </w:r>
          </w:p>
        </w:tc>
        <w:tc>
          <w:tcPr>
            <w:tcW w:w="169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4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491</w:t>
            </w:r>
          </w:p>
        </w:tc>
        <w:tc>
          <w:tcPr>
            <w:tcW w:w="135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97.81%</w:t>
            </w:r>
          </w:p>
        </w:tc>
        <w:tc>
          <w:tcPr>
            <w:tcW w:w="85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eastAsia="Times New Roman"/>
                <w:kern w:val="0"/>
              </w:rPr>
              <w:t>外国语学院</w:t>
            </w:r>
          </w:p>
        </w:tc>
        <w:tc>
          <w:tcPr>
            <w:tcW w:w="169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380</w:t>
            </w:r>
          </w:p>
        </w:tc>
        <w:tc>
          <w:tcPr>
            <w:tcW w:w="14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369</w:t>
            </w:r>
          </w:p>
        </w:tc>
        <w:tc>
          <w:tcPr>
            <w:tcW w:w="135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97.11%</w:t>
            </w:r>
          </w:p>
        </w:tc>
        <w:tc>
          <w:tcPr>
            <w:tcW w:w="859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ascii="宋体" w:hAnsi="宋体" w:eastAsia="Times New Roman"/>
                <w:kern w:val="0"/>
              </w:rPr>
              <w:t>理学院</w:t>
            </w:r>
          </w:p>
        </w:tc>
        <w:tc>
          <w:tcPr>
            <w:tcW w:w="169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4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35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96.60%</w:t>
            </w:r>
          </w:p>
        </w:tc>
        <w:tc>
          <w:tcPr>
            <w:tcW w:w="85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23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ascii="宋体" w:hAnsi="宋体" w:eastAsia="Times New Roman"/>
                <w:kern w:val="0"/>
              </w:rPr>
              <w:t>国际交流学院</w:t>
            </w:r>
          </w:p>
        </w:tc>
        <w:tc>
          <w:tcPr>
            <w:tcW w:w="169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94</w:t>
            </w:r>
          </w:p>
        </w:tc>
        <w:tc>
          <w:tcPr>
            <w:tcW w:w="14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135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95.74%</w:t>
            </w:r>
          </w:p>
        </w:tc>
        <w:tc>
          <w:tcPr>
            <w:tcW w:w="859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923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ascii="宋体" w:hAnsi="宋体" w:eastAsia="Times New Roman"/>
                <w:kern w:val="0"/>
              </w:rPr>
              <w:t>电子信息工程学院</w:t>
            </w:r>
          </w:p>
        </w:tc>
        <w:tc>
          <w:tcPr>
            <w:tcW w:w="169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610</w:t>
            </w:r>
          </w:p>
        </w:tc>
        <w:tc>
          <w:tcPr>
            <w:tcW w:w="14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58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95.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4"/>
              </w:rPr>
              <w:t>74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%</w:t>
            </w:r>
          </w:p>
        </w:tc>
        <w:tc>
          <w:tcPr>
            <w:tcW w:w="85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923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kern w:val="0"/>
              </w:rPr>
            </w:pPr>
            <w:r>
              <w:rPr>
                <w:rFonts w:hint="eastAsia" w:ascii="宋体" w:hAnsi="宋体" w:eastAsia="Times New Roman"/>
                <w:kern w:val="0"/>
              </w:rPr>
              <w:t>人文与艺术学院</w:t>
            </w:r>
          </w:p>
        </w:tc>
        <w:tc>
          <w:tcPr>
            <w:tcW w:w="169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326</w:t>
            </w:r>
          </w:p>
        </w:tc>
        <w:tc>
          <w:tcPr>
            <w:tcW w:w="14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312</w:t>
            </w:r>
          </w:p>
        </w:tc>
        <w:tc>
          <w:tcPr>
            <w:tcW w:w="135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95.71%</w:t>
            </w:r>
          </w:p>
        </w:tc>
        <w:tc>
          <w:tcPr>
            <w:tcW w:w="859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8</w:t>
            </w:r>
          </w:p>
        </w:tc>
      </w:tr>
    </w:tbl>
    <w:p>
      <w:pPr>
        <w:pStyle w:val="23"/>
        <w:rPr>
          <w:rFonts w:hint="eastAsia" w:hAnsi="宋体" w:eastAsia="宋体" w:cs="Times New Roman"/>
          <w:lang w:val="zh-CN"/>
        </w:rPr>
      </w:pPr>
    </w:p>
    <w:p>
      <w:pPr>
        <w:pStyle w:val="23"/>
        <w:rPr>
          <w:rFonts w:eastAsia="黑体"/>
          <w:b/>
          <w:bCs/>
          <w:szCs w:val="22"/>
          <w:lang w:val="zh-CN"/>
        </w:rPr>
      </w:pPr>
      <w:r>
        <w:rPr>
          <w:rFonts w:hint="eastAsia" w:hAnsi="宋体" w:eastAsia="宋体" w:cs="Times New Roman"/>
          <w:lang w:val="zh-CN"/>
        </w:rPr>
        <w:t>签约率排名前三位分别是机械工程学院（</w:t>
      </w:r>
      <w:r>
        <w:rPr>
          <w:rFonts w:hint="eastAsia" w:ascii="Times New Roman" w:hAnsi="Times New Roman" w:eastAsia="宋体" w:cs="Times New Roman"/>
        </w:rPr>
        <w:t>97.81%</w:t>
      </w:r>
      <w:r>
        <w:rPr>
          <w:rFonts w:hint="eastAsia" w:hAnsi="宋体" w:eastAsia="宋体" w:cs="Times New Roman"/>
          <w:lang w:val="zh-CN"/>
        </w:rPr>
        <w:t>）、经济与管理学院（</w:t>
      </w:r>
      <w:r>
        <w:rPr>
          <w:rFonts w:hint="eastAsia" w:ascii="Times New Roman" w:hAnsi="Times New Roman" w:eastAsia="宋体" w:cs="Times New Roman"/>
        </w:rPr>
        <w:t>97.50%</w:t>
      </w:r>
      <w:r>
        <w:rPr>
          <w:rFonts w:hint="eastAsia" w:hAnsi="宋体" w:eastAsia="宋体" w:cs="Times New Roman"/>
          <w:lang w:val="zh-CN"/>
        </w:rPr>
        <w:t>）和国际交流学院（</w:t>
      </w:r>
      <w:r>
        <w:rPr>
          <w:rFonts w:hint="eastAsia" w:ascii="Times New Roman" w:hAnsi="Times New Roman" w:eastAsia="宋体" w:cs="Times New Roman"/>
        </w:rPr>
        <w:t>95.74%</w:t>
      </w:r>
      <w:r>
        <w:rPr>
          <w:rFonts w:hint="eastAsia" w:hAnsi="宋体" w:eastAsia="宋体" w:cs="Times New Roman"/>
          <w:lang w:val="zh-CN"/>
        </w:rPr>
        <w:t>），各学院的签约率排名情况见表三。</w:t>
      </w:r>
    </w:p>
    <w:p>
      <w:pPr>
        <w:autoSpaceDE w:val="0"/>
        <w:autoSpaceDN w:val="0"/>
        <w:spacing w:line="360" w:lineRule="auto"/>
        <w:jc w:val="center"/>
        <w:rPr>
          <w:rFonts w:eastAsia="黑体"/>
          <w:b/>
          <w:bCs/>
          <w:sz w:val="24"/>
          <w:lang w:val="zh-CN"/>
        </w:rPr>
      </w:pPr>
      <w:r>
        <w:rPr>
          <w:rFonts w:hint="eastAsia" w:eastAsia="黑体"/>
          <w:b/>
          <w:bCs/>
          <w:sz w:val="24"/>
          <w:szCs w:val="22"/>
          <w:lang w:val="zh-CN"/>
        </w:rPr>
        <w:t>表三</w:t>
      </w:r>
      <w:r>
        <w:rPr>
          <w:rFonts w:hint="eastAsia" w:eastAsia="黑体"/>
          <w:b/>
          <w:bCs/>
          <w:sz w:val="24"/>
          <w:szCs w:val="22"/>
        </w:rPr>
        <w:t xml:space="preserve">  </w:t>
      </w:r>
      <w:r>
        <w:rPr>
          <w:rFonts w:hint="eastAsia" w:eastAsia="黑体"/>
          <w:b/>
          <w:bCs/>
          <w:sz w:val="24"/>
          <w:szCs w:val="22"/>
          <w:lang w:val="zh-CN"/>
        </w:rPr>
        <w:t>各学院签约率及排名</w:t>
      </w:r>
    </w:p>
    <w:tbl>
      <w:tblPr>
        <w:tblStyle w:val="16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1725"/>
        <w:gridCol w:w="1485"/>
        <w:gridCol w:w="1365"/>
        <w:gridCol w:w="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0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学院</w:t>
            </w:r>
          </w:p>
        </w:tc>
        <w:tc>
          <w:tcPr>
            <w:tcW w:w="172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毕业生人数</w:t>
            </w:r>
          </w:p>
        </w:tc>
        <w:tc>
          <w:tcPr>
            <w:tcW w:w="14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hint="eastAsia" w:eastAsia="Times New Roman"/>
                <w:b/>
                <w:kern w:val="0"/>
              </w:rPr>
              <w:t>签约</w:t>
            </w:r>
            <w:r>
              <w:rPr>
                <w:rFonts w:eastAsia="Times New Roman"/>
                <w:b/>
                <w:kern w:val="0"/>
              </w:rPr>
              <w:t>人数</w:t>
            </w:r>
          </w:p>
        </w:tc>
        <w:tc>
          <w:tcPr>
            <w:tcW w:w="136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hint="eastAsia" w:eastAsia="Times New Roman"/>
                <w:b/>
                <w:kern w:val="0"/>
              </w:rPr>
              <w:t>签约</w:t>
            </w:r>
            <w:r>
              <w:rPr>
                <w:rFonts w:eastAsia="Times New Roman"/>
                <w:b/>
                <w:kern w:val="0"/>
              </w:rPr>
              <w:t>率</w:t>
            </w:r>
          </w:p>
        </w:tc>
        <w:tc>
          <w:tcPr>
            <w:tcW w:w="82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08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 w:eastAsia="Times New Roman"/>
                <w:kern w:val="0"/>
              </w:rPr>
              <w:t>机械工程学院</w:t>
            </w:r>
          </w:p>
        </w:tc>
        <w:tc>
          <w:tcPr>
            <w:tcW w:w="172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4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491 </w:t>
            </w:r>
          </w:p>
        </w:tc>
        <w:tc>
          <w:tcPr>
            <w:tcW w:w="136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97.81%</w:t>
            </w:r>
          </w:p>
        </w:tc>
        <w:tc>
          <w:tcPr>
            <w:tcW w:w="829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0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hAnsi="Arial" w:eastAsia="Times New Roman"/>
                <w:kern w:val="0"/>
              </w:rPr>
              <w:t>经济与管理学院</w:t>
            </w:r>
          </w:p>
        </w:tc>
        <w:tc>
          <w:tcPr>
            <w:tcW w:w="172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639</w:t>
            </w:r>
          </w:p>
        </w:tc>
        <w:tc>
          <w:tcPr>
            <w:tcW w:w="14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623 </w:t>
            </w:r>
          </w:p>
        </w:tc>
        <w:tc>
          <w:tcPr>
            <w:tcW w:w="136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97.50%</w:t>
            </w:r>
          </w:p>
        </w:tc>
        <w:tc>
          <w:tcPr>
            <w:tcW w:w="82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08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 w:eastAsia="Times New Roman"/>
                <w:kern w:val="0"/>
              </w:rPr>
              <w:t>国际交流学院</w:t>
            </w:r>
          </w:p>
        </w:tc>
        <w:tc>
          <w:tcPr>
            <w:tcW w:w="172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94</w:t>
            </w:r>
          </w:p>
        </w:tc>
        <w:tc>
          <w:tcPr>
            <w:tcW w:w="14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90 </w:t>
            </w:r>
          </w:p>
        </w:tc>
        <w:tc>
          <w:tcPr>
            <w:tcW w:w="136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95.74%</w:t>
            </w:r>
          </w:p>
        </w:tc>
        <w:tc>
          <w:tcPr>
            <w:tcW w:w="829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0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 w:eastAsia="Times New Roman"/>
                <w:kern w:val="0"/>
              </w:rPr>
              <w:t>建筑与交通工程学院</w:t>
            </w:r>
          </w:p>
        </w:tc>
        <w:tc>
          <w:tcPr>
            <w:tcW w:w="172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416</w:t>
            </w:r>
          </w:p>
        </w:tc>
        <w:tc>
          <w:tcPr>
            <w:tcW w:w="14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398 </w:t>
            </w:r>
          </w:p>
        </w:tc>
        <w:tc>
          <w:tcPr>
            <w:tcW w:w="136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95.67%</w:t>
            </w:r>
          </w:p>
        </w:tc>
        <w:tc>
          <w:tcPr>
            <w:tcW w:w="82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08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eastAsia="Times New Roman"/>
                <w:kern w:val="0"/>
              </w:rPr>
              <w:t>材料与化学工程学院</w:t>
            </w:r>
          </w:p>
        </w:tc>
        <w:tc>
          <w:tcPr>
            <w:tcW w:w="172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329</w:t>
            </w:r>
          </w:p>
        </w:tc>
        <w:tc>
          <w:tcPr>
            <w:tcW w:w="14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308 </w:t>
            </w:r>
          </w:p>
        </w:tc>
        <w:tc>
          <w:tcPr>
            <w:tcW w:w="136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93.62%</w:t>
            </w:r>
          </w:p>
        </w:tc>
        <w:tc>
          <w:tcPr>
            <w:tcW w:w="829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0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 w:eastAsia="Times New Roman"/>
                <w:kern w:val="0"/>
              </w:rPr>
              <w:t>人文与艺术学院</w:t>
            </w:r>
          </w:p>
        </w:tc>
        <w:tc>
          <w:tcPr>
            <w:tcW w:w="172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326</w:t>
            </w:r>
          </w:p>
        </w:tc>
        <w:tc>
          <w:tcPr>
            <w:tcW w:w="14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294 </w:t>
            </w:r>
          </w:p>
        </w:tc>
        <w:tc>
          <w:tcPr>
            <w:tcW w:w="136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90.18%</w:t>
            </w:r>
          </w:p>
        </w:tc>
        <w:tc>
          <w:tcPr>
            <w:tcW w:w="82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08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eastAsia="Times New Roman"/>
                <w:kern w:val="0"/>
              </w:rPr>
              <w:t>外国语学院</w:t>
            </w:r>
          </w:p>
        </w:tc>
        <w:tc>
          <w:tcPr>
            <w:tcW w:w="172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380</w:t>
            </w:r>
          </w:p>
        </w:tc>
        <w:tc>
          <w:tcPr>
            <w:tcW w:w="14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337 </w:t>
            </w:r>
          </w:p>
        </w:tc>
        <w:tc>
          <w:tcPr>
            <w:tcW w:w="136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88.68%</w:t>
            </w:r>
          </w:p>
        </w:tc>
        <w:tc>
          <w:tcPr>
            <w:tcW w:w="829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0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 w:eastAsia="Times New Roman"/>
                <w:kern w:val="0"/>
              </w:rPr>
              <w:t>理学院</w:t>
            </w:r>
          </w:p>
        </w:tc>
        <w:tc>
          <w:tcPr>
            <w:tcW w:w="172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4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182 </w:t>
            </w:r>
          </w:p>
        </w:tc>
        <w:tc>
          <w:tcPr>
            <w:tcW w:w="136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88.35%</w:t>
            </w:r>
          </w:p>
        </w:tc>
        <w:tc>
          <w:tcPr>
            <w:tcW w:w="82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08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 w:eastAsia="Times New Roman"/>
                <w:kern w:val="0"/>
              </w:rPr>
              <w:t>电子信息工程学院</w:t>
            </w:r>
          </w:p>
        </w:tc>
        <w:tc>
          <w:tcPr>
            <w:tcW w:w="172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610</w:t>
            </w:r>
          </w:p>
        </w:tc>
        <w:tc>
          <w:tcPr>
            <w:tcW w:w="14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538 </w:t>
            </w:r>
          </w:p>
        </w:tc>
        <w:tc>
          <w:tcPr>
            <w:tcW w:w="136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88.20%</w:t>
            </w:r>
          </w:p>
        </w:tc>
        <w:tc>
          <w:tcPr>
            <w:tcW w:w="829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9</w:t>
            </w:r>
          </w:p>
        </w:tc>
      </w:tr>
    </w:tbl>
    <w:p>
      <w:pPr>
        <w:autoSpaceDE w:val="0"/>
        <w:autoSpaceDN w:val="0"/>
        <w:spacing w:line="360" w:lineRule="auto"/>
        <w:ind w:firstLine="480" w:firstLineChars="200"/>
        <w:rPr>
          <w:rFonts w:hint="eastAsia" w:hAnsi="宋体" w:cs="Times New Roman"/>
          <w:sz w:val="24"/>
          <w:lang w:val="zh-CN"/>
        </w:rPr>
      </w:pPr>
    </w:p>
    <w:p>
      <w:pPr>
        <w:autoSpaceDE w:val="0"/>
        <w:autoSpaceDN w:val="0"/>
        <w:spacing w:line="360" w:lineRule="auto"/>
        <w:ind w:firstLine="480" w:firstLineChars="200"/>
        <w:rPr>
          <w:rFonts w:hAnsi="宋体" w:cs="Times New Roman"/>
          <w:sz w:val="24"/>
          <w:lang w:val="zh-CN"/>
        </w:rPr>
      </w:pPr>
      <w:r>
        <w:rPr>
          <w:rFonts w:hint="eastAsia" w:hAnsi="宋体" w:cs="Times New Roman"/>
          <w:sz w:val="24"/>
          <w:lang w:val="zh-CN"/>
        </w:rPr>
        <w:t>油气储运工程、国际经济与贸易、物流工程、市场营销、建筑环境与能源应用工程、建筑学、工程管理、材料成型及控制工程、材料物理、安全工程、材料科学与工程、工业设计、广告学等十三个专业的就业率、签约率皆达到</w:t>
      </w:r>
      <w:r>
        <w:rPr>
          <w:rFonts w:ascii="Times New Roman" w:hAnsi="Times New Roman" w:cs="Times New Roman"/>
          <w:sz w:val="24"/>
          <w:lang w:val="zh-CN"/>
        </w:rPr>
        <w:t>100%</w:t>
      </w:r>
      <w:r>
        <w:rPr>
          <w:rFonts w:hint="eastAsia" w:hAnsi="宋体" w:cs="Times New Roman"/>
          <w:sz w:val="24"/>
          <w:lang w:val="zh-CN"/>
        </w:rPr>
        <w:t>，各专业的就业率、签约率见表四。</w:t>
      </w:r>
    </w:p>
    <w:p>
      <w:pPr>
        <w:pStyle w:val="23"/>
        <w:ind w:firstLine="0" w:firstLineChars="0"/>
        <w:jc w:val="center"/>
        <w:rPr>
          <w:rFonts w:eastAsia="黑体"/>
          <w:b/>
          <w:bCs/>
          <w:szCs w:val="22"/>
          <w:lang w:val="zh-CN"/>
        </w:rPr>
      </w:pPr>
      <w:r>
        <w:rPr>
          <w:rFonts w:hint="eastAsia" w:eastAsia="黑体"/>
          <w:b/>
          <w:bCs/>
          <w:szCs w:val="22"/>
          <w:lang w:val="zh-CN"/>
        </w:rPr>
        <w:t>表四  各专业就业率、签约率统计</w:t>
      </w:r>
    </w:p>
    <w:tbl>
      <w:tblPr>
        <w:tblStyle w:val="16"/>
        <w:tblW w:w="8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651"/>
        <w:gridCol w:w="1680"/>
        <w:gridCol w:w="1785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</w:rPr>
              <w:t>序号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bCs/>
                <w:kern w:val="0"/>
              </w:rPr>
              <w:t>专业名称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Cs w:val="21"/>
              </w:rPr>
              <w:t>毕业生人数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Cs w:val="21"/>
              </w:rPr>
              <w:t>就业率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Cs w:val="21"/>
              </w:rPr>
              <w:t>签约率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1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油气储运工程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0.00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2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3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物流工程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4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5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建筑环境与能源应用工程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6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建筑学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00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7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.00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8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材料成型及控制工程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9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材料物理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10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安全工程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11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12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工业设计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13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广告学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86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14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15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汽车服务工程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16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化学工程与工艺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17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18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商务英语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19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应用统计学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62 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20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国际商务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21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22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交通工程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97.50%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23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97.47%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24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机械设计制造及其自动化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97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25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交通运输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97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.05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26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应用化学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96.43%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27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96.40%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28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金融工程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80 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.25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29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96.15%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30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日语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31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会计学(中美合作办学)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94 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95.74%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32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网络工程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5.56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33</w:t>
            </w:r>
          </w:p>
        </w:tc>
        <w:tc>
          <w:tcPr>
            <w:tcW w:w="265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68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7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46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.45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  <w:r>
              <w:rPr>
                <w:rFonts w:ascii="Times New Roman" w:hAnsi="Times New Roman" w:eastAsia="Times New Roman" w:cs="Times New Roman"/>
                <w:kern w:val="0"/>
              </w:rPr>
              <w:t>34</w:t>
            </w:r>
          </w:p>
        </w:tc>
        <w:tc>
          <w:tcPr>
            <w:tcW w:w="265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信息与计算科学</w:t>
            </w:r>
          </w:p>
        </w:tc>
        <w:tc>
          <w:tcPr>
            <w:tcW w:w="168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64 </w:t>
            </w:r>
          </w:p>
        </w:tc>
        <w:tc>
          <w:tcPr>
            <w:tcW w:w="17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6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.31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%</w:t>
            </w:r>
          </w:p>
        </w:tc>
      </w:tr>
    </w:tbl>
    <w:p>
      <w:pPr>
        <w:pStyle w:val="5"/>
        <w:spacing w:before="0" w:after="0" w:line="360" w:lineRule="auto"/>
        <w:ind w:firstLine="472" w:firstLineChars="196"/>
        <w:rPr>
          <w:rFonts w:hint="eastAsia" w:ascii="Times New Roman" w:hAnsi="Times New Roman" w:cs="Times New Roman"/>
          <w:sz w:val="24"/>
          <w:szCs w:val="24"/>
        </w:rPr>
      </w:pPr>
      <w:bookmarkStart w:id="4" w:name="_Toc27808"/>
    </w:p>
    <w:p>
      <w:pPr>
        <w:pStyle w:val="5"/>
        <w:spacing w:before="0" w:after="0" w:line="360" w:lineRule="auto"/>
        <w:ind w:firstLine="472" w:firstLineChars="196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3．毕业生</w:t>
      </w:r>
      <w:r>
        <w:rPr>
          <w:rFonts w:hint="eastAsia" w:ascii="Times New Roman" w:hAnsi="Times New Roman" w:cs="Times New Roman"/>
          <w:sz w:val="24"/>
          <w:szCs w:val="24"/>
          <w:lang w:val="zh-CN"/>
        </w:rPr>
        <w:t>升学情况</w:t>
      </w:r>
      <w:bookmarkEnd w:id="4"/>
    </w:p>
    <w:p>
      <w:pPr>
        <w:autoSpaceDE w:val="0"/>
        <w:autoSpaceDN w:val="0"/>
        <w:spacing w:line="360" w:lineRule="auto"/>
        <w:ind w:firstLine="465"/>
        <w:jc w:val="left"/>
        <w:rPr>
          <w:rFonts w:hAnsi="宋体" w:cs="Times New Roman"/>
          <w:sz w:val="24"/>
          <w:szCs w:val="20"/>
          <w:lang w:val="zh-CN"/>
        </w:rPr>
      </w:pPr>
      <w:r>
        <w:rPr>
          <w:rFonts w:hint="eastAsia" w:ascii="宋体" w:hAnsi="宋体" w:eastAsia="宋体" w:cs="宋体"/>
          <w:sz w:val="24"/>
          <w:szCs w:val="20"/>
        </w:rPr>
        <w:t>2019</w:t>
      </w:r>
      <w:r>
        <w:rPr>
          <w:rFonts w:hint="eastAsia" w:ascii="宋体" w:hAnsi="宋体" w:eastAsia="宋体" w:cs="宋体"/>
          <w:sz w:val="24"/>
          <w:szCs w:val="20"/>
          <w:lang w:val="zh-CN"/>
        </w:rPr>
        <w:t>届毕业生中考取国内研究生</w:t>
      </w:r>
      <w:r>
        <w:rPr>
          <w:rFonts w:hint="eastAsia" w:ascii="宋体" w:hAnsi="宋体" w:eastAsia="宋体" w:cs="宋体"/>
          <w:sz w:val="24"/>
          <w:szCs w:val="20"/>
        </w:rPr>
        <w:t>356</w:t>
      </w:r>
      <w:r>
        <w:rPr>
          <w:rFonts w:hint="eastAsia" w:ascii="宋体" w:hAnsi="宋体" w:eastAsia="宋体" w:cs="宋体"/>
          <w:sz w:val="24"/>
          <w:szCs w:val="20"/>
          <w:lang w:val="zh-CN"/>
        </w:rPr>
        <w:t>人、出国升学</w:t>
      </w:r>
      <w:r>
        <w:rPr>
          <w:rFonts w:hint="eastAsia" w:ascii="宋体" w:hAnsi="宋体" w:eastAsia="宋体" w:cs="宋体"/>
          <w:sz w:val="24"/>
          <w:szCs w:val="20"/>
        </w:rPr>
        <w:t>84</w:t>
      </w:r>
      <w:r>
        <w:rPr>
          <w:rFonts w:hint="eastAsia" w:ascii="宋体" w:hAnsi="宋体" w:eastAsia="宋体" w:cs="宋体"/>
          <w:sz w:val="24"/>
          <w:szCs w:val="20"/>
          <w:lang w:val="zh-CN"/>
        </w:rPr>
        <w:t>人，合计</w:t>
      </w:r>
      <w:r>
        <w:rPr>
          <w:rFonts w:hint="eastAsia" w:ascii="宋体" w:hAnsi="宋体" w:eastAsia="宋体" w:cs="宋体"/>
          <w:sz w:val="24"/>
          <w:szCs w:val="20"/>
          <w:lang w:val="en-US" w:eastAsia="zh-CN"/>
        </w:rPr>
        <w:t>440</w:t>
      </w:r>
      <w:r>
        <w:rPr>
          <w:rFonts w:hint="eastAsia" w:ascii="宋体" w:hAnsi="宋体" w:eastAsia="宋体" w:cs="宋体"/>
          <w:sz w:val="24"/>
          <w:szCs w:val="20"/>
          <w:lang w:val="zh-CN"/>
        </w:rPr>
        <w:t>人，占毕业生人数的</w:t>
      </w:r>
      <w:r>
        <w:rPr>
          <w:rFonts w:hint="eastAsia" w:ascii="宋体" w:hAnsi="宋体" w:eastAsia="宋体" w:cs="宋体"/>
          <w:sz w:val="24"/>
          <w:szCs w:val="20"/>
          <w:lang w:val="en-US" w:eastAsia="zh-CN"/>
        </w:rPr>
        <w:t>12.56</w:t>
      </w:r>
      <w:r>
        <w:rPr>
          <w:rFonts w:hint="eastAsia" w:ascii="宋体" w:hAnsi="宋体" w:eastAsia="宋体" w:cs="宋体"/>
          <w:sz w:val="24"/>
          <w:szCs w:val="20"/>
          <w:lang w:val="zh-CN"/>
        </w:rPr>
        <w:t xml:space="preserve">%。各学院研究生录取情况见表五。   </w:t>
      </w:r>
      <w:r>
        <w:rPr>
          <w:rFonts w:hint="eastAsia" w:hAnsi="宋体" w:cs="Times New Roman"/>
          <w:sz w:val="24"/>
          <w:szCs w:val="20"/>
          <w:lang w:val="zh-CN"/>
        </w:rPr>
        <w:t xml:space="preserve">     </w:t>
      </w:r>
    </w:p>
    <w:p>
      <w:pPr>
        <w:autoSpaceDE w:val="0"/>
        <w:autoSpaceDN w:val="0"/>
        <w:spacing w:line="360" w:lineRule="auto"/>
        <w:ind w:firstLine="120" w:firstLineChars="50"/>
        <w:jc w:val="center"/>
        <w:rPr>
          <w:rFonts w:eastAsia="黑体"/>
          <w:b/>
          <w:bCs/>
          <w:sz w:val="24"/>
          <w:lang w:val="zh-CN"/>
        </w:rPr>
      </w:pPr>
      <w:r>
        <w:rPr>
          <w:rFonts w:hint="eastAsia" w:eastAsia="黑体"/>
          <w:b/>
          <w:bCs/>
          <w:sz w:val="24"/>
          <w:lang w:val="zh-CN"/>
        </w:rPr>
        <w:t>表五</w:t>
      </w:r>
      <w:r>
        <w:rPr>
          <w:rFonts w:eastAsia="黑体"/>
          <w:b/>
          <w:bCs/>
          <w:sz w:val="24"/>
          <w:lang w:val="zh-CN"/>
        </w:rPr>
        <w:t xml:space="preserve"> </w:t>
      </w:r>
      <w:r>
        <w:rPr>
          <w:rFonts w:hint="eastAsia" w:eastAsia="黑体"/>
          <w:b/>
          <w:bCs/>
          <w:sz w:val="24"/>
          <w:lang w:val="zh-CN"/>
        </w:rPr>
        <w:t>各学院研究生录取人数统计</w:t>
      </w:r>
    </w:p>
    <w:tbl>
      <w:tblPr>
        <w:tblStyle w:val="16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1091"/>
        <w:gridCol w:w="1091"/>
        <w:gridCol w:w="1175"/>
        <w:gridCol w:w="1175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1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b/>
                <w:kern w:val="0"/>
              </w:rPr>
            </w:pPr>
            <w:r>
              <w:rPr>
                <w:rFonts w:hint="eastAsia" w:ascii="宋体" w:hAnsi="宋体" w:eastAsia="Times New Roman"/>
                <w:b/>
                <w:kern w:val="0"/>
              </w:rPr>
              <w:t>学 院</w:t>
            </w:r>
          </w:p>
        </w:tc>
        <w:tc>
          <w:tcPr>
            <w:tcW w:w="109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b/>
                <w:kern w:val="0"/>
              </w:rPr>
            </w:pPr>
            <w:r>
              <w:rPr>
                <w:rFonts w:hint="eastAsia" w:ascii="宋体" w:hAnsi="宋体" w:eastAsia="Times New Roman"/>
                <w:b/>
                <w:kern w:val="0"/>
              </w:rPr>
              <w:t>985高校</w:t>
            </w:r>
          </w:p>
        </w:tc>
        <w:tc>
          <w:tcPr>
            <w:tcW w:w="109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b/>
                <w:kern w:val="0"/>
              </w:rPr>
            </w:pPr>
            <w:r>
              <w:rPr>
                <w:rFonts w:hint="eastAsia" w:ascii="宋体" w:hAnsi="宋体" w:eastAsia="Times New Roman"/>
                <w:b/>
                <w:kern w:val="0"/>
              </w:rPr>
              <w:t>211高校</w:t>
            </w:r>
          </w:p>
        </w:tc>
        <w:tc>
          <w:tcPr>
            <w:tcW w:w="117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b/>
                <w:kern w:val="0"/>
              </w:rPr>
            </w:pPr>
            <w:r>
              <w:rPr>
                <w:rFonts w:hint="eastAsia" w:ascii="宋体" w:hAnsi="宋体" w:eastAsia="Times New Roman"/>
                <w:b/>
                <w:kern w:val="0"/>
              </w:rPr>
              <w:t>普通高校</w:t>
            </w:r>
          </w:p>
        </w:tc>
        <w:tc>
          <w:tcPr>
            <w:tcW w:w="117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b/>
                <w:kern w:val="0"/>
              </w:rPr>
            </w:pPr>
            <w:r>
              <w:rPr>
                <w:rFonts w:hint="eastAsia" w:ascii="宋体" w:hAnsi="宋体" w:eastAsia="Times New Roman"/>
                <w:b/>
                <w:kern w:val="0"/>
              </w:rPr>
              <w:t>境外高校</w:t>
            </w:r>
          </w:p>
        </w:tc>
        <w:tc>
          <w:tcPr>
            <w:tcW w:w="116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b/>
                <w:kern w:val="0"/>
              </w:rPr>
            </w:pPr>
            <w:r>
              <w:rPr>
                <w:rFonts w:hint="eastAsia" w:ascii="宋体" w:hAnsi="宋体" w:eastAsia="Times New Roman"/>
                <w:b/>
                <w:kern w:val="0"/>
              </w:rPr>
              <w:t>录取人数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经济与管理学院</w:t>
            </w:r>
          </w:p>
        </w:tc>
        <w:tc>
          <w:tcPr>
            <w:tcW w:w="109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109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117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28</w:t>
            </w:r>
          </w:p>
        </w:tc>
        <w:tc>
          <w:tcPr>
            <w:tcW w:w="117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1169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人文</w:t>
            </w:r>
            <w:r>
              <w:rPr>
                <w:rFonts w:hint="eastAsia" w:eastAsia="Times New Roman"/>
                <w:kern w:val="0"/>
              </w:rPr>
              <w:t>与艺术</w:t>
            </w:r>
            <w:r>
              <w:rPr>
                <w:rFonts w:eastAsia="Times New Roman"/>
                <w:kern w:val="0"/>
              </w:rPr>
              <w:t>学院</w:t>
            </w:r>
          </w:p>
        </w:tc>
        <w:tc>
          <w:tcPr>
            <w:tcW w:w="109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109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117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117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16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hAnsi="Arial" w:eastAsia="Times New Roman"/>
                <w:kern w:val="0"/>
              </w:rPr>
              <w:t>机械工程学院</w:t>
            </w:r>
          </w:p>
        </w:tc>
        <w:tc>
          <w:tcPr>
            <w:tcW w:w="109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109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117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32</w:t>
            </w:r>
          </w:p>
        </w:tc>
        <w:tc>
          <w:tcPr>
            <w:tcW w:w="117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1169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hAnsi="Arial" w:eastAsia="Times New Roman"/>
                <w:kern w:val="0"/>
              </w:rPr>
              <w:t>建筑与交通工程学院</w:t>
            </w:r>
          </w:p>
        </w:tc>
        <w:tc>
          <w:tcPr>
            <w:tcW w:w="109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109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15</w:t>
            </w:r>
          </w:p>
        </w:tc>
        <w:tc>
          <w:tcPr>
            <w:tcW w:w="117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42</w:t>
            </w:r>
          </w:p>
        </w:tc>
        <w:tc>
          <w:tcPr>
            <w:tcW w:w="117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116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hAnsi="Arial" w:eastAsia="Times New Roman"/>
                <w:kern w:val="0"/>
              </w:rPr>
              <w:t>电子与信息工程学院</w:t>
            </w:r>
          </w:p>
        </w:tc>
        <w:tc>
          <w:tcPr>
            <w:tcW w:w="109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4</w:t>
            </w:r>
          </w:p>
        </w:tc>
        <w:tc>
          <w:tcPr>
            <w:tcW w:w="109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3</w:t>
            </w:r>
          </w:p>
        </w:tc>
        <w:tc>
          <w:tcPr>
            <w:tcW w:w="117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31</w:t>
            </w:r>
          </w:p>
        </w:tc>
        <w:tc>
          <w:tcPr>
            <w:tcW w:w="117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1169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hAnsi="Arial" w:eastAsia="Times New Roman"/>
                <w:kern w:val="0"/>
              </w:rPr>
              <w:t>材料与化学工程学院</w:t>
            </w:r>
          </w:p>
        </w:tc>
        <w:tc>
          <w:tcPr>
            <w:tcW w:w="109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109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25</w:t>
            </w:r>
          </w:p>
        </w:tc>
        <w:tc>
          <w:tcPr>
            <w:tcW w:w="117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46</w:t>
            </w:r>
          </w:p>
        </w:tc>
        <w:tc>
          <w:tcPr>
            <w:tcW w:w="117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116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hAnsi="Arial" w:eastAsia="Times New Roman"/>
                <w:kern w:val="0"/>
              </w:rPr>
              <w:t>外国语学院</w:t>
            </w:r>
          </w:p>
        </w:tc>
        <w:tc>
          <w:tcPr>
            <w:tcW w:w="109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109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117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23</w:t>
            </w:r>
          </w:p>
        </w:tc>
        <w:tc>
          <w:tcPr>
            <w:tcW w:w="117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1169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hAnsi="Arial" w:eastAsia="Times New Roman"/>
                <w:kern w:val="0"/>
              </w:rPr>
              <w:t>国际交流学院</w:t>
            </w:r>
          </w:p>
        </w:tc>
        <w:tc>
          <w:tcPr>
            <w:tcW w:w="109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</w:t>
            </w:r>
          </w:p>
        </w:tc>
        <w:tc>
          <w:tcPr>
            <w:tcW w:w="109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0</w:t>
            </w:r>
          </w:p>
        </w:tc>
        <w:tc>
          <w:tcPr>
            <w:tcW w:w="117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117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116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hAnsi="Arial" w:eastAsia="Times New Roman"/>
                <w:kern w:val="0"/>
              </w:rPr>
              <w:t>理学院</w:t>
            </w:r>
          </w:p>
        </w:tc>
        <w:tc>
          <w:tcPr>
            <w:tcW w:w="109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1091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117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38</w:t>
            </w:r>
          </w:p>
        </w:tc>
        <w:tc>
          <w:tcPr>
            <w:tcW w:w="117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1169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hAnsi="Arial" w:eastAsia="Times New Roman"/>
                <w:kern w:val="0"/>
              </w:rPr>
              <w:t>合  计</w:t>
            </w:r>
          </w:p>
        </w:tc>
        <w:tc>
          <w:tcPr>
            <w:tcW w:w="109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21</w:t>
            </w:r>
          </w:p>
        </w:tc>
        <w:tc>
          <w:tcPr>
            <w:tcW w:w="109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78</w:t>
            </w:r>
          </w:p>
        </w:tc>
        <w:tc>
          <w:tcPr>
            <w:tcW w:w="117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257</w:t>
            </w:r>
          </w:p>
        </w:tc>
        <w:tc>
          <w:tcPr>
            <w:tcW w:w="117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84</w:t>
            </w:r>
          </w:p>
        </w:tc>
        <w:tc>
          <w:tcPr>
            <w:tcW w:w="116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440</w:t>
            </w:r>
          </w:p>
        </w:tc>
      </w:tr>
    </w:tbl>
    <w:p>
      <w:pPr>
        <w:autoSpaceDE w:val="0"/>
        <w:autoSpaceDN w:val="0"/>
        <w:spacing w:line="360" w:lineRule="auto"/>
        <w:rPr>
          <w:rFonts w:hAnsi="宋体"/>
          <w:lang w:val="zh-CN"/>
        </w:rPr>
      </w:pPr>
      <w:r>
        <w:rPr>
          <w:rFonts w:hint="eastAsia" w:ascii="宋体" w:hAnsi="宋体"/>
        </w:rPr>
        <w:t>备注：既是985又是211高校只计入985高校</w:t>
      </w:r>
    </w:p>
    <w:p>
      <w:pPr>
        <w:pStyle w:val="5"/>
        <w:spacing w:before="0" w:after="0" w:line="360" w:lineRule="auto"/>
        <w:ind w:firstLine="472" w:firstLineChars="196"/>
        <w:rPr>
          <w:rFonts w:ascii="Times New Roman" w:hAnsi="Times New Roman" w:cs="Times New Roman"/>
          <w:sz w:val="24"/>
          <w:szCs w:val="24"/>
          <w:lang w:val="zh-CN"/>
        </w:rPr>
      </w:pPr>
      <w:bookmarkStart w:id="5" w:name="_Toc23215"/>
      <w:r>
        <w:rPr>
          <w:rFonts w:hint="eastAsia" w:ascii="Times New Roman" w:hAnsi="Times New Roman" w:cs="Times New Roman"/>
          <w:sz w:val="24"/>
          <w:szCs w:val="24"/>
        </w:rPr>
        <w:t>4．就业岗位流向</w:t>
      </w:r>
      <w:bookmarkEnd w:id="5"/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  <w:lang w:val="zh-CN"/>
        </w:rPr>
        <w:t>毕业生就业单位主要为中小型民营企业、中外合资企业和外资企业，在这些企业就业人数为</w:t>
      </w:r>
      <w:r>
        <w:rPr>
          <w:rFonts w:ascii="Times New Roman" w:hAnsi="Times New Roman" w:eastAsia="宋体" w:cs="Times New Roman"/>
        </w:rPr>
        <w:t>24</w:t>
      </w:r>
      <w:r>
        <w:rPr>
          <w:rFonts w:hint="eastAsia" w:ascii="Times New Roman" w:hAnsi="Times New Roman" w:eastAsia="宋体" w:cs="Times New Roman"/>
        </w:rPr>
        <w:t>95</w:t>
      </w:r>
      <w:r>
        <w:rPr>
          <w:rFonts w:hint="eastAsia" w:hAnsi="宋体" w:eastAsia="宋体" w:cs="Times New Roman"/>
          <w:lang w:val="zh-CN"/>
        </w:rPr>
        <w:t>人，占毕业生人数的</w:t>
      </w:r>
      <w:r>
        <w:rPr>
          <w:rFonts w:hint="eastAsia" w:ascii="Times New Roman" w:hAnsi="Times New Roman" w:eastAsia="宋体" w:cs="Times New Roman"/>
        </w:rPr>
        <w:t>71.25</w:t>
      </w:r>
      <w:r>
        <w:rPr>
          <w:rFonts w:ascii="Times New Roman" w:hAnsi="Times New Roman" w:eastAsia="宋体" w:cs="Times New Roman"/>
          <w:lang w:val="zh-CN"/>
        </w:rPr>
        <w:t>%</w:t>
      </w:r>
      <w:r>
        <w:rPr>
          <w:rFonts w:hint="eastAsia" w:hAnsi="宋体" w:eastAsia="宋体" w:cs="Times New Roman"/>
          <w:lang w:val="zh-CN"/>
        </w:rPr>
        <w:t>。进入国家机关、事业单位、国有企业、科研设计单位、中初教育单位的共计</w:t>
      </w:r>
      <w:r>
        <w:rPr>
          <w:rFonts w:hint="eastAsia" w:ascii="Times New Roman" w:hAnsi="Times New Roman" w:eastAsia="宋体" w:cs="Times New Roman"/>
        </w:rPr>
        <w:t>325</w:t>
      </w:r>
      <w:r>
        <w:rPr>
          <w:rFonts w:hint="eastAsia" w:hAnsi="宋体" w:eastAsia="宋体" w:cs="Times New Roman"/>
          <w:lang w:val="zh-CN"/>
        </w:rPr>
        <w:t>人，占毕业生人数的</w:t>
      </w:r>
      <w:r>
        <w:rPr>
          <w:rFonts w:hint="eastAsia" w:ascii="Times New Roman" w:hAnsi="Times New Roman" w:eastAsia="宋体" w:cs="Times New Roman"/>
        </w:rPr>
        <w:t>9.28</w:t>
      </w:r>
      <w:r>
        <w:rPr>
          <w:rFonts w:ascii="Times New Roman" w:hAnsi="Times New Roman" w:eastAsia="宋体" w:cs="Times New Roman"/>
          <w:lang w:val="zh-CN"/>
        </w:rPr>
        <w:t>%</w:t>
      </w:r>
      <w:r>
        <w:rPr>
          <w:rFonts w:hint="eastAsia" w:hAnsi="宋体" w:eastAsia="宋体" w:cs="Times New Roman"/>
          <w:lang w:val="zh-CN"/>
        </w:rPr>
        <w:t>。毕业生就业去向详见表六。</w:t>
      </w:r>
    </w:p>
    <w:p>
      <w:pPr>
        <w:autoSpaceDE w:val="0"/>
        <w:autoSpaceDN w:val="0"/>
        <w:spacing w:line="360" w:lineRule="auto"/>
        <w:jc w:val="center"/>
        <w:rPr>
          <w:rFonts w:eastAsia="黑体"/>
          <w:b/>
          <w:bCs/>
          <w:sz w:val="24"/>
          <w:lang w:val="zh-CN"/>
        </w:rPr>
      </w:pPr>
      <w:r>
        <w:rPr>
          <w:rFonts w:hint="eastAsia" w:eastAsia="黑体"/>
          <w:b/>
          <w:bCs/>
          <w:sz w:val="24"/>
          <w:lang w:val="zh-CN"/>
        </w:rPr>
        <w:t>表六</w:t>
      </w:r>
      <w:r>
        <w:rPr>
          <w:rFonts w:eastAsia="黑体"/>
          <w:b/>
          <w:bCs/>
          <w:sz w:val="24"/>
          <w:lang w:val="zh-CN"/>
        </w:rPr>
        <w:t xml:space="preserve"> </w:t>
      </w:r>
      <w:r>
        <w:rPr>
          <w:rFonts w:hint="eastAsia" w:eastAsia="黑体"/>
          <w:b/>
          <w:bCs/>
          <w:sz w:val="24"/>
          <w:lang w:val="zh-CN"/>
        </w:rPr>
        <w:t>毕业生就业去向</w:t>
      </w:r>
    </w:p>
    <w:tbl>
      <w:tblPr>
        <w:tblStyle w:val="16"/>
        <w:tblW w:w="8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85"/>
        <w:gridCol w:w="1050"/>
        <w:gridCol w:w="1050"/>
        <w:gridCol w:w="1050"/>
        <w:gridCol w:w="1065"/>
        <w:gridCol w:w="1035"/>
        <w:gridCol w:w="602"/>
        <w:gridCol w:w="527"/>
        <w:gridCol w:w="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就业去向</w:t>
            </w:r>
          </w:p>
        </w:tc>
        <w:tc>
          <w:tcPr>
            <w:tcW w:w="58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升学</w:t>
            </w:r>
          </w:p>
        </w:tc>
        <w:tc>
          <w:tcPr>
            <w:tcW w:w="105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出国</w:t>
            </w:r>
            <w:r>
              <w:rPr>
                <w:rFonts w:hAnsi="宋体" w:eastAsia="Times New Roman"/>
                <w:b/>
                <w:kern w:val="0"/>
              </w:rPr>
              <w:t>出境</w:t>
            </w:r>
          </w:p>
        </w:tc>
        <w:tc>
          <w:tcPr>
            <w:tcW w:w="105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政府机关</w:t>
            </w:r>
          </w:p>
        </w:tc>
        <w:tc>
          <w:tcPr>
            <w:tcW w:w="105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事业单位</w:t>
            </w:r>
          </w:p>
        </w:tc>
        <w:tc>
          <w:tcPr>
            <w:tcW w:w="106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hAnsi="宋体" w:eastAsia="Times New Roman"/>
                <w:b/>
                <w:kern w:val="0"/>
              </w:rPr>
              <w:t>国有企业</w:t>
            </w:r>
          </w:p>
        </w:tc>
        <w:tc>
          <w:tcPr>
            <w:tcW w:w="1035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hAnsi="宋体" w:eastAsia="Times New Roman"/>
                <w:b/>
                <w:kern w:val="0"/>
              </w:rPr>
              <w:t>其他</w:t>
            </w:r>
            <w:r>
              <w:rPr>
                <w:rFonts w:eastAsia="Times New Roman"/>
                <w:b/>
                <w:kern w:val="0"/>
              </w:rPr>
              <w:t>企业</w:t>
            </w:r>
          </w:p>
        </w:tc>
        <w:tc>
          <w:tcPr>
            <w:tcW w:w="60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部队</w:t>
            </w:r>
          </w:p>
        </w:tc>
        <w:tc>
          <w:tcPr>
            <w:tcW w:w="527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hAnsi="宋体" w:eastAsia="Times New Roman"/>
                <w:b/>
                <w:kern w:val="0"/>
              </w:rPr>
              <w:t>待业</w:t>
            </w:r>
          </w:p>
        </w:tc>
        <w:tc>
          <w:tcPr>
            <w:tcW w:w="514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eastAsia="Times New Roman"/>
                <w:b/>
                <w:kern w:val="0"/>
              </w:rPr>
            </w:pPr>
            <w:r>
              <w:rPr>
                <w:rFonts w:hint="eastAsia" w:hAnsi="宋体" w:eastAsia="Times New Roman"/>
                <w:b/>
                <w:kern w:val="0"/>
              </w:rPr>
              <w:t>创业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3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Times New Roman"/>
                <w:kern w:val="0"/>
              </w:rPr>
            </w:pPr>
            <w:bookmarkStart w:id="6" w:name="OLE_LINK6" w:colFirst="1" w:colLast="8"/>
            <w:r>
              <w:rPr>
                <w:rFonts w:eastAsia="Times New Roman"/>
                <w:kern w:val="0"/>
              </w:rPr>
              <w:t>人数</w:t>
            </w:r>
          </w:p>
        </w:tc>
        <w:tc>
          <w:tcPr>
            <w:tcW w:w="58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356</w:t>
            </w:r>
          </w:p>
        </w:tc>
        <w:tc>
          <w:tcPr>
            <w:tcW w:w="105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Cs w:val="21"/>
              </w:rPr>
              <w:t>84</w:t>
            </w:r>
          </w:p>
        </w:tc>
        <w:tc>
          <w:tcPr>
            <w:tcW w:w="105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31</w:t>
            </w:r>
          </w:p>
        </w:tc>
        <w:tc>
          <w:tcPr>
            <w:tcW w:w="1050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35</w:t>
            </w:r>
          </w:p>
        </w:tc>
        <w:tc>
          <w:tcPr>
            <w:tcW w:w="106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259</w:t>
            </w:r>
          </w:p>
        </w:tc>
        <w:tc>
          <w:tcPr>
            <w:tcW w:w="1035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2495</w:t>
            </w:r>
          </w:p>
        </w:tc>
        <w:tc>
          <w:tcPr>
            <w:tcW w:w="602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</w:rPr>
              <w:t>8</w:t>
            </w:r>
          </w:p>
        </w:tc>
        <w:tc>
          <w:tcPr>
            <w:tcW w:w="527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83</w:t>
            </w:r>
          </w:p>
        </w:tc>
        <w:tc>
          <w:tcPr>
            <w:tcW w:w="514" w:type="dxa"/>
            <w:shd w:val="clear" w:color="auto" w:fill="ECEEE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Cs w:val="21"/>
              </w:rPr>
              <w:t>12</w:t>
            </w:r>
          </w:p>
        </w:tc>
      </w:tr>
      <w:bookmarkEnd w:id="6"/>
    </w:tbl>
    <w:p>
      <w:pPr>
        <w:pStyle w:val="5"/>
        <w:spacing w:before="0" w:after="0" w:line="360" w:lineRule="auto"/>
        <w:ind w:firstLine="472" w:firstLineChars="196"/>
        <w:rPr>
          <w:rFonts w:hint="eastAsia" w:ascii="Times New Roman" w:hAnsi="Times New Roman" w:cs="Times New Roman"/>
          <w:sz w:val="24"/>
          <w:szCs w:val="24"/>
        </w:rPr>
      </w:pPr>
      <w:bookmarkStart w:id="7" w:name="_Toc27895"/>
    </w:p>
    <w:p>
      <w:pPr>
        <w:pStyle w:val="5"/>
        <w:spacing w:before="0" w:after="0" w:line="360" w:lineRule="auto"/>
        <w:ind w:firstLine="472" w:firstLineChars="196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5．就业地域流向</w:t>
      </w:r>
      <w:bookmarkEnd w:id="7"/>
    </w:p>
    <w:p>
      <w:pPr>
        <w:pStyle w:val="23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表七、八分别为浙江省各地区及外省的就业去向分布。表七显示不同生源地的学生就业率相近，表明不同生源地学生就业能力相近。回生源地就业比例最高的为宁波（</w:t>
      </w:r>
      <w:r>
        <w:rPr>
          <w:rFonts w:hint="eastAsia" w:ascii="宋体" w:hAnsi="宋体" w:eastAsia="宋体" w:cs="宋体"/>
        </w:rPr>
        <w:t>90.57</w:t>
      </w:r>
      <w:r>
        <w:rPr>
          <w:rFonts w:hint="eastAsia" w:ascii="宋体" w:hAnsi="宋体" w:eastAsia="宋体" w:cs="宋体"/>
          <w:lang w:val="zh-CN"/>
        </w:rPr>
        <w:t>%），较去年上升</w:t>
      </w:r>
      <w:r>
        <w:rPr>
          <w:rFonts w:hint="eastAsia" w:ascii="宋体" w:hAnsi="宋体" w:eastAsia="宋体" w:cs="宋体"/>
        </w:rPr>
        <w:t>8.71</w:t>
      </w:r>
      <w:r>
        <w:rPr>
          <w:rFonts w:hint="eastAsia" w:ascii="宋体" w:hAnsi="宋体" w:eastAsia="宋体" w:cs="宋体"/>
          <w:lang w:val="zh-CN"/>
        </w:rPr>
        <w:t>个百分点，其次为杭州（</w:t>
      </w:r>
      <w:r>
        <w:rPr>
          <w:rFonts w:hint="eastAsia" w:ascii="宋体" w:hAnsi="宋体" w:eastAsia="宋体" w:cs="宋体"/>
        </w:rPr>
        <w:t>67.11</w:t>
      </w:r>
      <w:r>
        <w:rPr>
          <w:rFonts w:hint="eastAsia" w:ascii="宋体" w:hAnsi="宋体" w:eastAsia="宋体" w:cs="宋体"/>
          <w:lang w:val="zh-CN"/>
        </w:rPr>
        <w:t>%）和嘉兴（</w:t>
      </w:r>
      <w:r>
        <w:rPr>
          <w:rFonts w:hint="eastAsia" w:ascii="宋体" w:hAnsi="宋体" w:eastAsia="宋体" w:cs="宋体"/>
        </w:rPr>
        <w:t>52.28</w:t>
      </w:r>
      <w:r>
        <w:rPr>
          <w:rFonts w:hint="eastAsia" w:ascii="宋体" w:hAnsi="宋体" w:eastAsia="宋体" w:cs="宋体"/>
          <w:lang w:val="zh-CN"/>
        </w:rPr>
        <w:t>%）。总体上呈现生源地经济越发达，回生源地就业比例越高的特征。</w:t>
      </w:r>
    </w:p>
    <w:p>
      <w:pPr>
        <w:pStyle w:val="15"/>
        <w:widowControl w:val="0"/>
        <w:tabs>
          <w:tab w:val="left" w:pos="825"/>
        </w:tabs>
        <w:spacing w:line="360" w:lineRule="auto"/>
        <w:jc w:val="center"/>
        <w:rPr>
          <w:rFonts w:ascii="黑体" w:hAnsi="Times New Roman" w:eastAsia="黑体" w:cs="黑体"/>
          <w:b/>
          <w:bCs/>
          <w:sz w:val="21"/>
          <w:szCs w:val="21"/>
          <w:lang w:val="zh-CN"/>
        </w:rPr>
      </w:pPr>
      <w:r>
        <w:rPr>
          <w:rFonts w:hint="eastAsia" w:ascii="黑体" w:hAnsi="黑体" w:eastAsia="黑体" w:cs="黑体"/>
          <w:b/>
          <w:bCs/>
          <w:kern w:val="2"/>
          <w:lang w:val="zh-CN"/>
        </w:rPr>
        <w:t xml:space="preserve">表七  </w:t>
      </w:r>
      <w:r>
        <w:rPr>
          <w:rFonts w:hint="eastAsia" w:ascii="黑体" w:hAnsi="Times New Roman" w:eastAsia="黑体" w:cs="黑体"/>
          <w:b/>
          <w:bCs/>
          <w:kern w:val="2"/>
          <w:lang w:val="zh-CN"/>
        </w:rPr>
        <w:t xml:space="preserve"> 毕业生就业地域去向</w:t>
      </w:r>
      <w:r>
        <w:rPr>
          <w:rFonts w:hint="eastAsia" w:ascii="黑体" w:hAnsi="黑体" w:eastAsia="黑体" w:cs="黑体"/>
          <w:b/>
          <w:bCs/>
          <w:kern w:val="2"/>
          <w:lang w:val="zh-CN"/>
        </w:rPr>
        <w:t>（一）</w:t>
      </w:r>
    </w:p>
    <w:tbl>
      <w:tblPr>
        <w:tblStyle w:val="16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81"/>
        <w:gridCol w:w="981"/>
        <w:gridCol w:w="1246"/>
        <w:gridCol w:w="180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地区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生源数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就业数</w:t>
            </w:r>
          </w:p>
        </w:tc>
        <w:tc>
          <w:tcPr>
            <w:tcW w:w="1246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就业率</w:t>
            </w:r>
          </w:p>
        </w:tc>
        <w:tc>
          <w:tcPr>
            <w:tcW w:w="180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回生源地就业人数</w:t>
            </w:r>
          </w:p>
        </w:tc>
        <w:tc>
          <w:tcPr>
            <w:tcW w:w="231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回生源地就业比例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</w:pPr>
            <w:r>
              <w:rPr>
                <w:rFonts w:hint="eastAsia" w:ascii="宋体" w:hAnsi="宋体"/>
                <w:kern w:val="0"/>
                <w:szCs w:val="21"/>
              </w:rPr>
              <w:t>杭州市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346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246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86.13%</w:t>
            </w:r>
          </w:p>
        </w:tc>
        <w:tc>
          <w:tcPr>
            <w:tcW w:w="180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31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67.11%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</w:pPr>
            <w:r>
              <w:rPr>
                <w:rFonts w:hint="eastAsia" w:ascii="宋体" w:hAnsi="宋体"/>
                <w:kern w:val="0"/>
                <w:szCs w:val="21"/>
              </w:rPr>
              <w:t>宁波市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504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246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86.31%</w:t>
            </w:r>
          </w:p>
        </w:tc>
        <w:tc>
          <w:tcPr>
            <w:tcW w:w="180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231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</w:pPr>
            <w:r>
              <w:rPr>
                <w:rFonts w:hint="eastAsia" w:ascii="宋体" w:hAnsi="宋体"/>
                <w:kern w:val="0"/>
                <w:szCs w:val="21"/>
              </w:rPr>
              <w:t>温州市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252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246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82.94%</w:t>
            </w:r>
          </w:p>
        </w:tc>
        <w:tc>
          <w:tcPr>
            <w:tcW w:w="180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31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32.06%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</w:pPr>
            <w:r>
              <w:rPr>
                <w:rFonts w:hint="eastAsia" w:ascii="宋体" w:hAnsi="宋体"/>
                <w:kern w:val="0"/>
                <w:szCs w:val="21"/>
              </w:rPr>
              <w:t>嘉兴市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218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246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90.37%</w:t>
            </w:r>
          </w:p>
        </w:tc>
        <w:tc>
          <w:tcPr>
            <w:tcW w:w="180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31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</w:pPr>
            <w:r>
              <w:rPr>
                <w:rFonts w:hint="eastAsia" w:ascii="宋体" w:hAnsi="宋体"/>
                <w:kern w:val="0"/>
                <w:szCs w:val="21"/>
              </w:rPr>
              <w:t>湖州市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148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246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83.78%</w:t>
            </w:r>
          </w:p>
        </w:tc>
        <w:tc>
          <w:tcPr>
            <w:tcW w:w="180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31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</w:pPr>
            <w:r>
              <w:rPr>
                <w:rFonts w:hint="eastAsia" w:ascii="宋体" w:hAnsi="宋体"/>
                <w:kern w:val="0"/>
                <w:szCs w:val="21"/>
              </w:rPr>
              <w:t>绍兴市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315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246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82.54%</w:t>
            </w:r>
          </w:p>
        </w:tc>
        <w:tc>
          <w:tcPr>
            <w:tcW w:w="180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31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</w:pPr>
            <w:r>
              <w:rPr>
                <w:rFonts w:hint="eastAsia" w:ascii="宋体" w:hAnsi="宋体"/>
                <w:kern w:val="0"/>
                <w:szCs w:val="21"/>
              </w:rPr>
              <w:t>金华市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244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246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88.11%</w:t>
            </w:r>
          </w:p>
        </w:tc>
        <w:tc>
          <w:tcPr>
            <w:tcW w:w="180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31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36.28%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</w:pPr>
            <w:r>
              <w:rPr>
                <w:rFonts w:hint="eastAsia" w:ascii="宋体" w:hAnsi="宋体"/>
                <w:kern w:val="0"/>
                <w:szCs w:val="21"/>
              </w:rPr>
              <w:t>衢州市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127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246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85.83%</w:t>
            </w:r>
          </w:p>
        </w:tc>
        <w:tc>
          <w:tcPr>
            <w:tcW w:w="180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31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</w:pPr>
            <w:r>
              <w:rPr>
                <w:rFonts w:hint="eastAsia" w:ascii="宋体" w:hAnsi="宋体"/>
                <w:kern w:val="0"/>
                <w:szCs w:val="21"/>
              </w:rPr>
              <w:t>舟山市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41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46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85.37%</w:t>
            </w:r>
          </w:p>
        </w:tc>
        <w:tc>
          <w:tcPr>
            <w:tcW w:w="180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1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</w:pPr>
            <w:r>
              <w:rPr>
                <w:rFonts w:hint="eastAsia" w:ascii="宋体" w:hAnsi="宋体"/>
                <w:kern w:val="0"/>
                <w:szCs w:val="21"/>
              </w:rPr>
              <w:t>台州市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252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246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88.49%</w:t>
            </w:r>
          </w:p>
        </w:tc>
        <w:tc>
          <w:tcPr>
            <w:tcW w:w="180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31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</w:pPr>
            <w:r>
              <w:rPr>
                <w:rFonts w:hint="eastAsia" w:ascii="宋体" w:hAnsi="宋体"/>
                <w:kern w:val="0"/>
                <w:szCs w:val="21"/>
              </w:rPr>
              <w:t>丽水市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90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246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91.11%</w:t>
            </w:r>
          </w:p>
        </w:tc>
        <w:tc>
          <w:tcPr>
            <w:tcW w:w="180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1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</w:pPr>
            <w:r>
              <w:rPr>
                <w:rFonts w:hint="eastAsia" w:ascii="宋体" w:hAnsi="宋体"/>
                <w:kern w:val="0"/>
                <w:szCs w:val="21"/>
              </w:rPr>
              <w:t>浙江省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2537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2187</w:t>
            </w:r>
          </w:p>
        </w:tc>
        <w:tc>
          <w:tcPr>
            <w:tcW w:w="1246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86.20%</w:t>
            </w:r>
          </w:p>
        </w:tc>
        <w:tc>
          <w:tcPr>
            <w:tcW w:w="180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2066</w:t>
            </w:r>
          </w:p>
        </w:tc>
        <w:tc>
          <w:tcPr>
            <w:tcW w:w="2318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94.47%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</w:pPr>
            <w:r>
              <w:rPr>
                <w:rFonts w:hint="eastAsia" w:ascii="宋体" w:hAnsi="宋体"/>
                <w:kern w:val="0"/>
                <w:szCs w:val="21"/>
              </w:rPr>
              <w:t>外省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965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1246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83.83%</w:t>
            </w:r>
          </w:p>
        </w:tc>
        <w:tc>
          <w:tcPr>
            <w:tcW w:w="180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2318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30.53%</w:t>
            </w:r>
          </w:p>
        </w:tc>
      </w:tr>
    </w:tbl>
    <w:p>
      <w:pPr>
        <w:autoSpaceDE w:val="0"/>
        <w:autoSpaceDN w:val="0"/>
        <w:spacing w:line="360" w:lineRule="auto"/>
        <w:ind w:firstLine="480" w:firstLineChars="200"/>
        <w:rPr>
          <w:rFonts w:hint="eastAsia" w:hAnsi="宋体" w:cs="Times New Roman"/>
          <w:sz w:val="24"/>
          <w:szCs w:val="20"/>
          <w:lang w:val="zh-CN"/>
        </w:rPr>
      </w:pPr>
    </w:p>
    <w:p>
      <w:pPr>
        <w:autoSpaceDE w:val="0"/>
        <w:autoSpaceDN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0"/>
          <w:lang w:val="zh-CN"/>
        </w:rPr>
      </w:pPr>
      <w:r>
        <w:rPr>
          <w:rFonts w:hint="eastAsia" w:ascii="宋体" w:hAnsi="宋体" w:eastAsia="宋体" w:cs="宋体"/>
          <w:sz w:val="24"/>
          <w:szCs w:val="20"/>
          <w:lang w:val="zh-CN"/>
        </w:rPr>
        <w:t>表八显示毕业生就业</w:t>
      </w:r>
      <w:r>
        <w:rPr>
          <w:rFonts w:hint="eastAsia" w:ascii="宋体" w:hAnsi="宋体" w:cs="宋体"/>
          <w:sz w:val="24"/>
          <w:szCs w:val="20"/>
          <w:lang w:val="zh-CN"/>
        </w:rPr>
        <w:t>地域主要集中在长三角经济发达城市</w:t>
      </w:r>
      <w:r>
        <w:rPr>
          <w:rFonts w:hint="eastAsia" w:ascii="宋体" w:hAnsi="宋体" w:eastAsia="宋体" w:cs="宋体"/>
          <w:sz w:val="24"/>
          <w:szCs w:val="20"/>
          <w:lang w:val="zh-CN"/>
        </w:rPr>
        <w:t>，</w:t>
      </w:r>
      <w:r>
        <w:rPr>
          <w:rFonts w:hint="eastAsia" w:ascii="宋体" w:hAnsi="宋体" w:cs="宋体"/>
          <w:sz w:val="24"/>
          <w:szCs w:val="20"/>
          <w:lang w:val="zh-CN"/>
        </w:rPr>
        <w:t>因学校驻地在宁波、人才培养定位，以及宁波经济发展、生活幸福指数等各方面因素的影响，宁波</w:t>
      </w:r>
      <w:r>
        <w:rPr>
          <w:rFonts w:hint="eastAsia" w:ascii="宋体" w:hAnsi="宋体" w:eastAsia="宋体" w:cs="宋体"/>
          <w:sz w:val="24"/>
          <w:szCs w:val="20"/>
          <w:lang w:val="zh-CN"/>
        </w:rPr>
        <w:t>就业人数</w:t>
      </w:r>
      <w:r>
        <w:rPr>
          <w:rFonts w:hint="eastAsia" w:ascii="宋体" w:hAnsi="宋体" w:cs="宋体"/>
          <w:sz w:val="24"/>
          <w:szCs w:val="20"/>
          <w:lang w:val="zh-CN"/>
        </w:rPr>
        <w:t>超过一半</w:t>
      </w:r>
      <w:r>
        <w:rPr>
          <w:rFonts w:hint="eastAsia" w:ascii="宋体" w:hAnsi="宋体" w:eastAsia="宋体" w:cs="宋体"/>
          <w:sz w:val="24"/>
          <w:szCs w:val="20"/>
          <w:lang w:val="zh-CN"/>
        </w:rPr>
        <w:t>，</w:t>
      </w:r>
      <w:r>
        <w:rPr>
          <w:rFonts w:hint="eastAsia" w:ascii="宋体" w:hAnsi="宋体" w:cs="宋体"/>
          <w:sz w:val="24"/>
          <w:szCs w:val="20"/>
          <w:lang w:val="zh-CN"/>
        </w:rPr>
        <w:t>比去年上升近</w:t>
      </w:r>
      <w:r>
        <w:rPr>
          <w:rFonts w:hint="eastAsia" w:ascii="宋体" w:hAnsi="宋体" w:cs="宋体"/>
          <w:sz w:val="24"/>
          <w:szCs w:val="20"/>
          <w:lang w:val="en-US" w:eastAsia="zh-CN"/>
        </w:rPr>
        <w:t>4个百分点。其次是杭州，杭州吸引就业比例较去年上升了近3个百分点，宁波、杭州引才比例占总就业人数的69.18%</w:t>
      </w:r>
      <w:r>
        <w:rPr>
          <w:rFonts w:hint="eastAsia" w:ascii="宋体" w:hAnsi="宋体" w:eastAsia="宋体" w:cs="宋体"/>
          <w:sz w:val="24"/>
          <w:szCs w:val="20"/>
          <w:lang w:val="zh-CN"/>
        </w:rPr>
        <w:t>。今年外省毕业生回生源地就业的比例较去年下降约</w:t>
      </w:r>
      <w:r>
        <w:rPr>
          <w:rFonts w:hint="eastAsia" w:ascii="宋体" w:hAnsi="宋体" w:eastAsia="宋体" w:cs="宋体"/>
          <w:color w:val="auto"/>
          <w:sz w:val="24"/>
          <w:szCs w:val="20"/>
        </w:rPr>
        <w:t>11</w:t>
      </w:r>
      <w:r>
        <w:rPr>
          <w:rFonts w:hint="eastAsia" w:ascii="宋体" w:hAnsi="宋体" w:eastAsia="宋体" w:cs="宋体"/>
          <w:sz w:val="24"/>
          <w:szCs w:val="20"/>
          <w:lang w:val="zh-CN"/>
        </w:rPr>
        <w:t>个百分点，表明外省毕业生回生源地就业的意愿有所下降，更愿意留在宁波及杭州等经济较发达的地区就业。</w:t>
      </w:r>
    </w:p>
    <w:p>
      <w:pPr>
        <w:pStyle w:val="15"/>
        <w:widowControl w:val="0"/>
        <w:tabs>
          <w:tab w:val="left" w:pos="825"/>
        </w:tabs>
        <w:spacing w:line="360" w:lineRule="auto"/>
        <w:jc w:val="center"/>
        <w:rPr>
          <w:rFonts w:ascii="黑体" w:hAnsi="Times New Roman" w:eastAsia="黑体" w:cs="黑体"/>
          <w:b/>
          <w:bCs/>
          <w:color w:val="auto"/>
          <w:sz w:val="21"/>
          <w:szCs w:val="21"/>
          <w:lang w:val="zh-CN"/>
        </w:rPr>
      </w:pPr>
      <w:r>
        <w:rPr>
          <w:rFonts w:hint="eastAsia" w:ascii="黑体" w:hAnsi="Times New Roman" w:eastAsia="黑体" w:cs="黑体"/>
          <w:b/>
          <w:bCs/>
          <w:color w:val="auto"/>
          <w:kern w:val="2"/>
          <w:lang w:val="zh-CN"/>
        </w:rPr>
        <w:t>表八  毕业生就业地域去向（二）</w:t>
      </w:r>
    </w:p>
    <w:tbl>
      <w:tblPr>
        <w:tblStyle w:val="16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81"/>
        <w:gridCol w:w="1711"/>
        <w:gridCol w:w="2442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宋体" w:eastAsia="Times New Roman" w:cs="Times New Roman"/>
                <w:b/>
                <w:kern w:val="0"/>
                <w:szCs w:val="21"/>
              </w:rPr>
              <w:t>地区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宋体" w:eastAsia="Times New Roman" w:cs="Times New Roman"/>
                <w:b/>
                <w:kern w:val="0"/>
                <w:szCs w:val="21"/>
              </w:rPr>
              <w:t>生源数</w:t>
            </w:r>
          </w:p>
        </w:tc>
        <w:tc>
          <w:tcPr>
            <w:tcW w:w="171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宋体" w:eastAsia="Times New Roman" w:cs="Times New Roman"/>
                <w:b/>
                <w:kern w:val="0"/>
                <w:szCs w:val="21"/>
              </w:rPr>
              <w:t>该地区就业数</w:t>
            </w:r>
          </w:p>
        </w:tc>
        <w:tc>
          <w:tcPr>
            <w:tcW w:w="24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宋体" w:eastAsia="Times New Roman" w:cs="Times New Roman"/>
                <w:b/>
                <w:kern w:val="0"/>
                <w:szCs w:val="21"/>
              </w:rPr>
              <w:t>就业数与生源数比例</w:t>
            </w:r>
          </w:p>
        </w:tc>
        <w:tc>
          <w:tcPr>
            <w:tcW w:w="219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宋体" w:eastAsia="Times New Roman" w:cs="Times New Roman"/>
                <w:b/>
                <w:kern w:val="0"/>
                <w:szCs w:val="21"/>
              </w:rPr>
              <w:t>地区吸引就业比例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kern w:val="0"/>
                <w:szCs w:val="21"/>
              </w:rPr>
              <w:t>杭州市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346</w:t>
            </w:r>
          </w:p>
        </w:tc>
        <w:tc>
          <w:tcPr>
            <w:tcW w:w="171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460</w:t>
            </w:r>
          </w:p>
        </w:tc>
        <w:tc>
          <w:tcPr>
            <w:tcW w:w="2442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132.95%</w:t>
            </w:r>
          </w:p>
        </w:tc>
        <w:tc>
          <w:tcPr>
            <w:tcW w:w="2199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kern w:val="0"/>
                <w:szCs w:val="21"/>
              </w:rPr>
              <w:t>宁波市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504</w:t>
            </w:r>
          </w:p>
        </w:tc>
        <w:tc>
          <w:tcPr>
            <w:tcW w:w="171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1601</w:t>
            </w:r>
          </w:p>
        </w:tc>
        <w:tc>
          <w:tcPr>
            <w:tcW w:w="24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317.66%</w:t>
            </w:r>
          </w:p>
        </w:tc>
        <w:tc>
          <w:tcPr>
            <w:tcW w:w="219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kern w:val="0"/>
                <w:szCs w:val="21"/>
              </w:rPr>
              <w:t>温州市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252</w:t>
            </w:r>
          </w:p>
        </w:tc>
        <w:tc>
          <w:tcPr>
            <w:tcW w:w="171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75</w:t>
            </w:r>
          </w:p>
        </w:tc>
        <w:tc>
          <w:tcPr>
            <w:tcW w:w="2442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29.76%</w:t>
            </w:r>
          </w:p>
        </w:tc>
        <w:tc>
          <w:tcPr>
            <w:tcW w:w="2199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kern w:val="0"/>
                <w:szCs w:val="21"/>
              </w:rPr>
              <w:t>嘉兴市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218</w:t>
            </w:r>
          </w:p>
        </w:tc>
        <w:tc>
          <w:tcPr>
            <w:tcW w:w="171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118</w:t>
            </w:r>
          </w:p>
        </w:tc>
        <w:tc>
          <w:tcPr>
            <w:tcW w:w="24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54.13%</w:t>
            </w:r>
          </w:p>
        </w:tc>
        <w:tc>
          <w:tcPr>
            <w:tcW w:w="219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kern w:val="0"/>
                <w:szCs w:val="21"/>
              </w:rPr>
              <w:t>湖州市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148</w:t>
            </w:r>
          </w:p>
        </w:tc>
        <w:tc>
          <w:tcPr>
            <w:tcW w:w="171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61</w:t>
            </w:r>
          </w:p>
        </w:tc>
        <w:tc>
          <w:tcPr>
            <w:tcW w:w="2442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41.22%</w:t>
            </w:r>
          </w:p>
        </w:tc>
        <w:tc>
          <w:tcPr>
            <w:tcW w:w="2199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kern w:val="0"/>
                <w:szCs w:val="21"/>
              </w:rPr>
              <w:t>绍兴市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315</w:t>
            </w:r>
          </w:p>
        </w:tc>
        <w:tc>
          <w:tcPr>
            <w:tcW w:w="171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108</w:t>
            </w:r>
          </w:p>
        </w:tc>
        <w:tc>
          <w:tcPr>
            <w:tcW w:w="24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34.29%</w:t>
            </w:r>
          </w:p>
        </w:tc>
        <w:tc>
          <w:tcPr>
            <w:tcW w:w="219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kern w:val="0"/>
                <w:szCs w:val="21"/>
              </w:rPr>
              <w:t>金华市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244</w:t>
            </w:r>
          </w:p>
        </w:tc>
        <w:tc>
          <w:tcPr>
            <w:tcW w:w="171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100</w:t>
            </w:r>
          </w:p>
        </w:tc>
        <w:tc>
          <w:tcPr>
            <w:tcW w:w="2442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40.98%</w:t>
            </w:r>
          </w:p>
        </w:tc>
        <w:tc>
          <w:tcPr>
            <w:tcW w:w="2199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kern w:val="0"/>
                <w:szCs w:val="21"/>
              </w:rPr>
              <w:t>衢州市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127</w:t>
            </w:r>
          </w:p>
        </w:tc>
        <w:tc>
          <w:tcPr>
            <w:tcW w:w="171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</w:p>
        </w:tc>
        <w:tc>
          <w:tcPr>
            <w:tcW w:w="24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19.69%</w:t>
            </w:r>
          </w:p>
        </w:tc>
        <w:tc>
          <w:tcPr>
            <w:tcW w:w="219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kern w:val="0"/>
                <w:szCs w:val="21"/>
              </w:rPr>
              <w:t>舟山市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41</w:t>
            </w:r>
          </w:p>
        </w:tc>
        <w:tc>
          <w:tcPr>
            <w:tcW w:w="171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2442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24.39%</w:t>
            </w:r>
          </w:p>
        </w:tc>
        <w:tc>
          <w:tcPr>
            <w:tcW w:w="2199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kern w:val="0"/>
                <w:szCs w:val="21"/>
              </w:rPr>
              <w:t>台州市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252</w:t>
            </w:r>
          </w:p>
        </w:tc>
        <w:tc>
          <w:tcPr>
            <w:tcW w:w="171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75</w:t>
            </w:r>
          </w:p>
        </w:tc>
        <w:tc>
          <w:tcPr>
            <w:tcW w:w="24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29.76%</w:t>
            </w:r>
          </w:p>
        </w:tc>
        <w:tc>
          <w:tcPr>
            <w:tcW w:w="219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kern w:val="0"/>
                <w:szCs w:val="21"/>
              </w:rPr>
              <w:t>丽水市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90</w:t>
            </w:r>
          </w:p>
        </w:tc>
        <w:tc>
          <w:tcPr>
            <w:tcW w:w="171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2442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  <w:tc>
          <w:tcPr>
            <w:tcW w:w="2199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上海市</w:t>
            </w:r>
          </w:p>
        </w:tc>
        <w:tc>
          <w:tcPr>
            <w:tcW w:w="98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711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107</w:t>
            </w:r>
          </w:p>
        </w:tc>
        <w:tc>
          <w:tcPr>
            <w:tcW w:w="2442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107%</w:t>
            </w:r>
          </w:p>
        </w:tc>
        <w:tc>
          <w:tcPr>
            <w:tcW w:w="2199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bookmarkStart w:id="8" w:name="_Toc19509"/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其他省市</w:t>
            </w:r>
          </w:p>
        </w:tc>
        <w:tc>
          <w:tcPr>
            <w:tcW w:w="98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965</w:t>
            </w:r>
          </w:p>
        </w:tc>
        <w:tc>
          <w:tcPr>
            <w:tcW w:w="1711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209</w:t>
            </w:r>
          </w:p>
        </w:tc>
        <w:tc>
          <w:tcPr>
            <w:tcW w:w="2442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2199" w:type="dxa"/>
            <w:shd w:val="clear" w:color="auto" w:fill="F1F1F1" w:themeFill="background1" w:themeFillShade="F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pStyle w:val="5"/>
        <w:spacing w:before="0" w:after="0" w:line="360" w:lineRule="auto"/>
        <w:ind w:firstLine="472" w:firstLineChars="196"/>
        <w:rPr>
          <w:rFonts w:hint="eastAsia" w:ascii="Times New Roman" w:hAnsi="Times New Roman" w:cs="Times New Roman"/>
          <w:sz w:val="24"/>
          <w:szCs w:val="24"/>
        </w:rPr>
      </w:pPr>
    </w:p>
    <w:p>
      <w:pPr>
        <w:pStyle w:val="5"/>
        <w:spacing w:before="0" w:after="0" w:line="360" w:lineRule="auto"/>
        <w:ind w:firstLine="472" w:firstLineChars="196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6．就业特点</w:t>
      </w:r>
      <w:bookmarkEnd w:id="8"/>
    </w:p>
    <w:p>
      <w:pPr>
        <w:pStyle w:val="23"/>
        <w:rPr>
          <w:rFonts w:hAnsi="宋体" w:eastAsia="宋体" w:cs="Times New Roman"/>
        </w:rPr>
      </w:pPr>
      <w:r>
        <w:rPr>
          <w:rFonts w:hint="eastAsia" w:hAnsi="宋体" w:eastAsia="宋体" w:cs="Times New Roman"/>
          <w:lang w:eastAsia="zh-CN"/>
        </w:rPr>
        <w:t>（</w:t>
      </w:r>
      <w:r>
        <w:rPr>
          <w:rFonts w:hint="eastAsia" w:hAnsi="宋体" w:eastAsia="宋体" w:cs="Times New Roman"/>
          <w:lang w:val="en-US" w:eastAsia="zh-CN"/>
        </w:rPr>
        <w:t>1</w:t>
      </w:r>
      <w:r>
        <w:rPr>
          <w:rFonts w:hint="eastAsia" w:hAnsi="宋体" w:eastAsia="宋体" w:cs="Times New Roman"/>
          <w:lang w:eastAsia="zh-CN"/>
        </w:rPr>
        <w:t>）</w:t>
      </w:r>
      <w:r>
        <w:rPr>
          <w:rFonts w:hint="eastAsia" w:hAnsi="宋体" w:eastAsia="宋体" w:cs="Times New Roman"/>
        </w:rPr>
        <w:t>就业</w:t>
      </w:r>
      <w:r>
        <w:rPr>
          <w:rFonts w:hint="eastAsia" w:hAnsi="宋体" w:eastAsia="宋体" w:cs="Times New Roman"/>
          <w:lang w:eastAsia="zh-CN"/>
        </w:rPr>
        <w:t>形势保持</w:t>
      </w:r>
      <w:r>
        <w:rPr>
          <w:rFonts w:hint="eastAsia" w:hAnsi="宋体" w:eastAsia="宋体" w:cs="Times New Roman"/>
        </w:rPr>
        <w:t>良好。</w:t>
      </w:r>
      <w:r>
        <w:rPr>
          <w:rFonts w:ascii="Times New Roman" w:hAnsi="Times New Roman" w:eastAsia="宋体" w:cs="Times New Roman"/>
        </w:rPr>
        <w:t>201</w:t>
      </w:r>
      <w:r>
        <w:rPr>
          <w:rFonts w:hint="eastAsia" w:ascii="Times New Roman" w:hAnsi="Times New Roman" w:eastAsia="宋体" w:cs="Times New Roman"/>
        </w:rPr>
        <w:t>9</w:t>
      </w:r>
      <w:r>
        <w:rPr>
          <w:rFonts w:hint="eastAsia" w:hAnsi="宋体" w:eastAsia="宋体" w:cs="Times New Roman"/>
        </w:rPr>
        <w:t>届毕业生就业率为</w:t>
      </w:r>
      <w:r>
        <w:rPr>
          <w:rFonts w:ascii="Times New Roman" w:hAnsi="Times New Roman" w:eastAsia="宋体" w:cs="Times New Roman"/>
        </w:rPr>
        <w:t>97.</w:t>
      </w:r>
      <w:r>
        <w:rPr>
          <w:rFonts w:hint="eastAsia" w:ascii="Times New Roman" w:hAnsi="Times New Roman" w:eastAsia="宋体" w:cs="Times New Roman"/>
        </w:rPr>
        <w:t>63</w:t>
      </w:r>
      <w:r>
        <w:rPr>
          <w:rFonts w:ascii="Times New Roman" w:hAnsi="Times New Roman" w:eastAsia="宋体" w:cs="Times New Roman"/>
        </w:rPr>
        <w:t>%</w:t>
      </w:r>
      <w:r>
        <w:rPr>
          <w:rFonts w:hint="eastAsia" w:hAnsi="宋体" w:eastAsia="宋体" w:cs="Times New Roman"/>
        </w:rPr>
        <w:t>，就业率依然高位运行，保持良好的增长的态势，其中</w:t>
      </w:r>
      <w:r>
        <w:rPr>
          <w:rFonts w:hint="eastAsia" w:eastAsia="Times New Roman"/>
          <w:kern w:val="0"/>
        </w:rPr>
        <w:t>材料与化学工程学院</w:t>
      </w:r>
      <w:r>
        <w:rPr>
          <w:rFonts w:hint="eastAsia" w:eastAsia="宋体"/>
          <w:kern w:val="0"/>
          <w:lang w:eastAsia="zh-CN"/>
        </w:rPr>
        <w:t>、</w:t>
      </w:r>
      <w:r>
        <w:rPr>
          <w:rFonts w:hint="eastAsia" w:ascii="宋体" w:hAnsi="宋体" w:eastAsia="Times New Roman"/>
          <w:kern w:val="0"/>
        </w:rPr>
        <w:t>建筑与交通工程学院</w:t>
      </w:r>
      <w:r>
        <w:rPr>
          <w:rFonts w:hint="eastAsia" w:ascii="宋体" w:hAnsi="宋体" w:eastAsia="宋体"/>
          <w:kern w:val="0"/>
          <w:lang w:eastAsia="zh-CN"/>
        </w:rPr>
        <w:t>、</w:t>
      </w:r>
      <w:r>
        <w:rPr>
          <w:rFonts w:hint="eastAsia" w:ascii="宋体" w:hAnsi="宋体" w:eastAsia="Times New Roman"/>
          <w:kern w:val="0"/>
        </w:rPr>
        <w:t>经济与管理学院</w:t>
      </w:r>
      <w:r>
        <w:rPr>
          <w:rFonts w:hint="eastAsia" w:hAnsi="宋体" w:eastAsia="宋体" w:cs="Times New Roman"/>
        </w:rPr>
        <w:t>就业率高达</w:t>
      </w:r>
      <w:r>
        <w:rPr>
          <w:rFonts w:hint="eastAsia" w:ascii="Times New Roman" w:hAnsi="Times New Roman" w:eastAsia="宋体" w:cs="Times New Roman"/>
        </w:rPr>
        <w:t>99</w:t>
      </w:r>
      <w:r>
        <w:rPr>
          <w:rFonts w:hint="eastAsia" w:ascii="Times New Roman" w:hAnsi="Times New Roman" w:eastAsia="宋体" w:cs="Times New Roman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lang w:eastAsia="zh-CN"/>
        </w:rPr>
        <w:t>以上</w:t>
      </w:r>
      <w:r>
        <w:rPr>
          <w:rFonts w:hint="eastAsia" w:hAnsi="宋体" w:eastAsia="宋体" w:cs="Times New Roman"/>
        </w:rPr>
        <w:t>，其他学院就业率均在</w:t>
      </w:r>
      <w:r>
        <w:rPr>
          <w:rFonts w:hint="eastAsia" w:ascii="Times New Roman" w:hAnsi="Times New Roman" w:eastAsia="宋体" w:cs="Times New Roman"/>
        </w:rPr>
        <w:t>95%</w:t>
      </w:r>
      <w:r>
        <w:rPr>
          <w:rFonts w:hint="eastAsia" w:hAnsi="宋体" w:eastAsia="宋体" w:cs="Times New Roman"/>
        </w:rPr>
        <w:t>以上。</w:t>
      </w:r>
    </w:p>
    <w:p>
      <w:pPr>
        <w:pStyle w:val="23"/>
        <w:rPr>
          <w:rFonts w:hint="eastAsia" w:ascii="宋体" w:hAnsi="宋体" w:eastAsia="宋体" w:cs="宋体"/>
        </w:rPr>
      </w:pPr>
      <w:r>
        <w:rPr>
          <w:rFonts w:hint="eastAsia" w:hAnsi="宋体" w:eastAsia="宋体" w:cs="Times New Roman"/>
          <w:lang w:eastAsia="zh-CN"/>
        </w:rPr>
        <w:t>（</w:t>
      </w:r>
      <w:r>
        <w:rPr>
          <w:rFonts w:hint="eastAsia" w:hAnsi="宋体" w:eastAsia="宋体" w:cs="Times New Roman"/>
          <w:lang w:val="en-US" w:eastAsia="zh-CN"/>
        </w:rPr>
        <w:t>2</w:t>
      </w:r>
      <w:r>
        <w:rPr>
          <w:rFonts w:hint="eastAsia" w:hAnsi="宋体" w:eastAsia="宋体" w:cs="Times New Roman"/>
          <w:lang w:eastAsia="zh-CN"/>
        </w:rPr>
        <w:t>）</w:t>
      </w:r>
      <w:r>
        <w:rPr>
          <w:rFonts w:hint="eastAsia" w:hAnsi="宋体" w:eastAsia="宋体" w:cs="Times New Roman"/>
        </w:rPr>
        <w:t>就业地域选择受经济发展影响较为显著。</w:t>
      </w:r>
      <w:r>
        <w:rPr>
          <w:rFonts w:hint="eastAsia" w:hAnsi="宋体" w:eastAsia="宋体" w:cs="Times New Roman"/>
          <w:lang w:eastAsia="zh-CN"/>
        </w:rPr>
        <w:t>近两年宁波经济发展较快，作为宁波高校毕业生，选择留甬就业人数越来越多</w:t>
      </w:r>
      <w:r>
        <w:rPr>
          <w:rFonts w:hint="eastAsia" w:hAnsi="宋体" w:eastAsia="宋体" w:cs="Times New Roman"/>
          <w:lang w:val="en-US" w:eastAsia="zh-CN"/>
        </w:rPr>
        <w:t>。</w:t>
      </w:r>
      <w:r>
        <w:rPr>
          <w:rFonts w:hint="eastAsia" w:hAnsi="宋体" w:eastAsia="宋体" w:cs="Times New Roman"/>
        </w:rPr>
        <w:t>从就业的地区看，大部分毕</w:t>
      </w:r>
      <w:r>
        <w:rPr>
          <w:rFonts w:hint="eastAsia" w:ascii="宋体" w:hAnsi="宋体" w:eastAsia="宋体" w:cs="宋体"/>
        </w:rPr>
        <w:t>业生选择在</w:t>
      </w:r>
      <w:r>
        <w:rPr>
          <w:rFonts w:hint="eastAsia" w:ascii="宋体" w:hAnsi="宋体" w:eastAsia="宋体" w:cs="宋体"/>
          <w:lang w:eastAsia="zh-CN"/>
        </w:rPr>
        <w:t>长三角经济发达城市就业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eastAsia="zh-CN"/>
        </w:rPr>
        <w:t>去</w:t>
      </w:r>
      <w:r>
        <w:rPr>
          <w:rFonts w:hint="eastAsia" w:ascii="宋体" w:hAnsi="宋体" w:eastAsia="宋体" w:cs="宋体"/>
        </w:rPr>
        <w:t>经济相对落后的</w:t>
      </w:r>
      <w:r>
        <w:rPr>
          <w:rFonts w:hint="eastAsia" w:ascii="宋体" w:hAnsi="宋体" w:eastAsia="宋体" w:cs="宋体"/>
          <w:lang w:eastAsia="zh-CN"/>
        </w:rPr>
        <w:t>内陆</w:t>
      </w:r>
      <w:r>
        <w:rPr>
          <w:rFonts w:hint="eastAsia" w:ascii="宋体" w:hAnsi="宋体" w:eastAsia="宋体" w:cs="宋体"/>
        </w:rPr>
        <w:t>地区</w:t>
      </w:r>
      <w:r>
        <w:rPr>
          <w:rFonts w:hint="eastAsia" w:ascii="宋体" w:hAnsi="宋体" w:eastAsia="宋体" w:cs="宋体"/>
          <w:lang w:eastAsia="zh-CN"/>
        </w:rPr>
        <w:t>工作的毕业生很</w:t>
      </w:r>
      <w:r>
        <w:rPr>
          <w:rFonts w:hint="eastAsia" w:ascii="宋体" w:hAnsi="宋体" w:eastAsia="宋体" w:cs="宋体"/>
        </w:rPr>
        <w:t>少。</w:t>
      </w:r>
    </w:p>
    <w:p>
      <w:pPr>
        <w:pStyle w:val="23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  <w:szCs w:val="20"/>
          <w:lang w:val="zh-CN"/>
        </w:rPr>
        <w:t>（</w:t>
      </w:r>
      <w:r>
        <w:rPr>
          <w:rFonts w:hint="eastAsia" w:ascii="宋体" w:hAnsi="宋体" w:eastAsia="宋体" w:cs="宋体"/>
          <w:sz w:val="24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0"/>
          <w:lang w:val="zh-CN"/>
        </w:rPr>
        <w:t>）继续深造人数越来越多。</w:t>
      </w:r>
      <w:r>
        <w:rPr>
          <w:rFonts w:hint="eastAsia" w:ascii="宋体" w:hAnsi="宋体" w:eastAsia="宋体" w:cs="宋体"/>
          <w:sz w:val="24"/>
          <w:szCs w:val="20"/>
          <w:lang w:val="en-US" w:eastAsia="zh-CN"/>
        </w:rPr>
        <w:t>2019年</w:t>
      </w:r>
      <w:r>
        <w:rPr>
          <w:rFonts w:hint="eastAsia" w:ascii="宋体" w:hAnsi="宋体" w:eastAsia="宋体" w:cs="宋体"/>
          <w:sz w:val="24"/>
          <w:szCs w:val="20"/>
          <w:lang w:val="zh-CN"/>
        </w:rPr>
        <w:t>考取国内研究生</w:t>
      </w:r>
      <w:r>
        <w:rPr>
          <w:rFonts w:hint="eastAsia" w:ascii="宋体" w:hAnsi="宋体" w:eastAsia="宋体" w:cs="宋体"/>
          <w:sz w:val="24"/>
          <w:szCs w:val="20"/>
          <w:lang w:val="en-US" w:eastAsia="zh-CN"/>
        </w:rPr>
        <w:t>356人，出国读研</w:t>
      </w:r>
      <w:r>
        <w:rPr>
          <w:rFonts w:hint="eastAsia" w:ascii="宋体" w:hAnsi="宋体" w:eastAsia="宋体" w:cs="宋体"/>
          <w:sz w:val="24"/>
          <w:szCs w:val="20"/>
        </w:rPr>
        <w:t>440</w:t>
      </w:r>
      <w:r>
        <w:rPr>
          <w:rFonts w:hint="eastAsia" w:ascii="宋体" w:hAnsi="宋体" w:eastAsia="宋体" w:cs="宋体"/>
          <w:sz w:val="24"/>
          <w:szCs w:val="20"/>
          <w:lang w:val="zh-CN"/>
        </w:rPr>
        <w:t>人，占毕业生人数的</w:t>
      </w:r>
      <w:r>
        <w:rPr>
          <w:rFonts w:hint="eastAsia" w:ascii="宋体" w:hAnsi="宋体" w:eastAsia="宋体" w:cs="宋体"/>
          <w:sz w:val="24"/>
          <w:szCs w:val="20"/>
        </w:rPr>
        <w:t>12.56</w:t>
      </w:r>
      <w:r>
        <w:rPr>
          <w:rFonts w:hint="eastAsia" w:ascii="宋体" w:hAnsi="宋体" w:eastAsia="宋体" w:cs="宋体"/>
          <w:sz w:val="24"/>
          <w:szCs w:val="20"/>
          <w:lang w:val="zh-CN"/>
        </w:rPr>
        <w:t>%，较去年上升约</w:t>
      </w:r>
      <w:r>
        <w:rPr>
          <w:rFonts w:hint="eastAsia" w:ascii="宋体" w:hAnsi="宋体" w:eastAsia="宋体" w:cs="宋体"/>
          <w:sz w:val="24"/>
          <w:szCs w:val="20"/>
        </w:rPr>
        <w:t>2.29</w:t>
      </w:r>
      <w:r>
        <w:rPr>
          <w:rFonts w:hint="eastAsia" w:ascii="宋体" w:hAnsi="宋体" w:eastAsia="宋体" w:cs="宋体"/>
          <w:sz w:val="24"/>
          <w:szCs w:val="20"/>
          <w:lang w:val="zh-CN"/>
        </w:rPr>
        <w:t>%，表明学生学习成绩不断提高，学校倡导学生考研深造取得了较大的效果。</w:t>
      </w:r>
    </w:p>
    <w:p>
      <w:pPr>
        <w:pStyle w:val="23"/>
        <w:rPr>
          <w:rFonts w:hAnsi="宋体" w:eastAsia="宋体" w:cs="Times New Roman"/>
        </w:rPr>
      </w:pPr>
      <w:r>
        <w:rPr>
          <w:rFonts w:hint="eastAsia" w:hAnsi="宋体" w:eastAsia="宋体" w:cs="Times New Roman"/>
          <w:lang w:val="zh-CN"/>
        </w:rPr>
        <w:t>（</w:t>
      </w:r>
      <w:r>
        <w:rPr>
          <w:rFonts w:hint="eastAsia" w:hAnsi="宋体" w:eastAsia="宋体" w:cs="Times New Roman"/>
          <w:lang w:val="en-US" w:eastAsia="zh-CN"/>
        </w:rPr>
        <w:t>4</w:t>
      </w:r>
      <w:r>
        <w:rPr>
          <w:rFonts w:hint="eastAsia" w:hAnsi="宋体" w:eastAsia="宋体" w:cs="Times New Roman"/>
          <w:lang w:val="zh-CN"/>
        </w:rPr>
        <w:t>）其他企业就业人数增多。近年来国家机构、事业单位、国有企业改革调整，需求人才的要求越来越高，本科毕业生直接进入这些单位就业越来越困难，选择到其他企业就业人数增多。</w:t>
      </w:r>
    </w:p>
    <w:p>
      <w:pPr>
        <w:pStyle w:val="4"/>
        <w:spacing w:before="0" w:after="0" w:line="360" w:lineRule="auto"/>
        <w:ind w:firstLine="562" w:firstLineChars="200"/>
      </w:pPr>
      <w:bookmarkStart w:id="9" w:name="_Toc10736"/>
      <w:r>
        <w:rPr>
          <w:rFonts w:hint="eastAsia"/>
          <w:lang w:val="zh-CN"/>
        </w:rPr>
        <w:t>二、</w:t>
      </w:r>
      <w:r>
        <w:rPr>
          <w:rFonts w:hint="eastAsia"/>
        </w:rPr>
        <w:t>工作机制</w:t>
      </w:r>
      <w:bookmarkEnd w:id="9"/>
    </w:p>
    <w:p>
      <w:pPr>
        <w:pStyle w:val="5"/>
        <w:spacing w:before="0" w:after="0" w:line="360" w:lineRule="auto"/>
        <w:ind w:firstLine="472" w:firstLineChars="196"/>
        <w:rPr>
          <w:rFonts w:ascii="Times New Roman" w:hAnsi="Times New Roman" w:cs="Times New Roman"/>
          <w:sz w:val="24"/>
          <w:szCs w:val="24"/>
          <w:lang w:val="zh-CN"/>
        </w:rPr>
      </w:pPr>
      <w:bookmarkStart w:id="10" w:name="_Toc9552"/>
      <w:r>
        <w:rPr>
          <w:rFonts w:hint="eastAsia" w:ascii="Times New Roman" w:hAnsi="Times New Roman" w:cs="Times New Roman"/>
          <w:sz w:val="24"/>
          <w:szCs w:val="24"/>
        </w:rPr>
        <w:t>1．</w:t>
      </w:r>
      <w:r>
        <w:rPr>
          <w:rFonts w:hint="eastAsia" w:ascii="Times New Roman" w:hAnsi="Times New Roman" w:cs="Times New Roman"/>
          <w:sz w:val="24"/>
          <w:szCs w:val="24"/>
          <w:lang w:val="zh-CN"/>
        </w:rPr>
        <w:t>加强领导、健全机制、形成齐抓共管、全民参与的良好局面</w:t>
      </w:r>
      <w:bookmarkEnd w:id="10"/>
    </w:p>
    <w:p>
      <w:pPr>
        <w:autoSpaceDE w:val="0"/>
        <w:autoSpaceDN w:val="0"/>
        <w:spacing w:line="360" w:lineRule="auto"/>
        <w:ind w:firstLine="480" w:firstLineChars="200"/>
        <w:rPr>
          <w:rFonts w:hAnsi="宋体" w:cs="Times New Roman"/>
          <w:sz w:val="24"/>
          <w:szCs w:val="20"/>
        </w:rPr>
      </w:pPr>
      <w:r>
        <w:rPr>
          <w:rFonts w:hint="eastAsia" w:hAnsi="宋体" w:cs="Times New Roman"/>
          <w:sz w:val="24"/>
          <w:szCs w:val="20"/>
        </w:rPr>
        <w:t>学校领导高度重视毕业生就业工作，多次召开会</w:t>
      </w:r>
      <w:r>
        <w:rPr>
          <w:rFonts w:hint="eastAsia" w:ascii="宋体" w:hAnsi="宋体" w:eastAsia="宋体" w:cs="宋体"/>
          <w:sz w:val="24"/>
          <w:szCs w:val="20"/>
        </w:rPr>
        <w:t>议研究2019届毕业</w:t>
      </w:r>
      <w:r>
        <w:rPr>
          <w:rFonts w:hint="eastAsia" w:hAnsi="宋体" w:cs="Times New Roman"/>
          <w:sz w:val="24"/>
          <w:szCs w:val="20"/>
        </w:rPr>
        <w:t>生就业工作。</w:t>
      </w:r>
      <w:r>
        <w:rPr>
          <w:rFonts w:ascii="Times New Roman" w:hAnsi="Times New Roman" w:cs="Times New Roman"/>
          <w:sz w:val="24"/>
          <w:szCs w:val="20"/>
        </w:rPr>
        <w:t>201</w:t>
      </w:r>
      <w:r>
        <w:rPr>
          <w:rFonts w:hint="eastAsia" w:ascii="Times New Roman" w:hAnsi="Times New Roman" w:cs="Times New Roman"/>
          <w:sz w:val="24"/>
          <w:szCs w:val="20"/>
        </w:rPr>
        <w:t>8</w:t>
      </w:r>
      <w:r>
        <w:rPr>
          <w:rFonts w:hint="eastAsia" w:hAnsi="宋体" w:cs="Times New Roman"/>
          <w:sz w:val="24"/>
          <w:szCs w:val="20"/>
        </w:rPr>
        <w:t>年</w:t>
      </w:r>
      <w:r>
        <w:rPr>
          <w:rFonts w:hint="eastAsia" w:ascii="Times New Roman" w:hAnsi="Times New Roman" w:cs="Times New Roman"/>
          <w:sz w:val="24"/>
          <w:szCs w:val="20"/>
        </w:rPr>
        <w:t>10</w:t>
      </w:r>
      <w:r>
        <w:rPr>
          <w:rFonts w:hint="eastAsia" w:hAnsi="宋体" w:cs="Times New Roman"/>
          <w:sz w:val="24"/>
          <w:szCs w:val="20"/>
        </w:rPr>
        <w:t>月份召开的毕业生就业工作会议对</w:t>
      </w:r>
      <w:r>
        <w:rPr>
          <w:rFonts w:hint="eastAsia" w:ascii="Times New Roman" w:hAnsi="Times New Roman" w:cs="Times New Roman"/>
          <w:sz w:val="24"/>
          <w:szCs w:val="20"/>
        </w:rPr>
        <w:t>2019</w:t>
      </w:r>
      <w:r>
        <w:rPr>
          <w:rFonts w:hint="eastAsia" w:hAnsi="宋体" w:cs="Times New Roman"/>
          <w:sz w:val="24"/>
          <w:szCs w:val="20"/>
        </w:rPr>
        <w:t>届毕业生就业工作做了全面的部署，明确了全年的工作目标，各学院分管领导、毕业生班主任、辅导员对做好就业工作统一了认识，形成了共识。学校领导到各学院调研，通过召开毕业生座谈会和下宿舍实地了解毕业生就业状况、就业心态与存在困难，采取措施，有利地推动了就业工作。</w:t>
      </w:r>
    </w:p>
    <w:p>
      <w:pPr>
        <w:autoSpaceDE w:val="0"/>
        <w:autoSpaceDN w:val="0"/>
        <w:spacing w:line="360" w:lineRule="auto"/>
        <w:ind w:firstLine="480" w:firstLineChars="200"/>
        <w:rPr>
          <w:rFonts w:hAnsi="宋体" w:cs="Times New Roman"/>
          <w:sz w:val="24"/>
          <w:szCs w:val="20"/>
        </w:rPr>
      </w:pPr>
      <w:r>
        <w:rPr>
          <w:rFonts w:hint="eastAsia" w:hAnsi="宋体" w:cs="Times New Roman"/>
          <w:sz w:val="24"/>
          <w:szCs w:val="20"/>
        </w:rPr>
        <w:t>学校建立了校院两级就业工作领导机制，学校层面校长负总责，学院层面院长或书记负总责，全面落实教育部提出的“一把手工程”。学校实行学院就业工作考评机制，把就业工作与学院年度考核、主要领导及辅导员年度考核、招生计划等挂钩，明确职责。通过这些措施，“领导主抓、处室统筹、院系为主、全员参与”的工作机制逐步形成，实效性不断增强。各学院从院长、书记到辅导员、班主任和普通教师都来关心毕业生就业工作。不管是领导还是普通老师，都积极主动联系企业，推荐学生，“全校动员、全员参与、全力以赴”的良好氛围正在逐步形成。</w:t>
      </w:r>
    </w:p>
    <w:p>
      <w:pPr>
        <w:autoSpaceDE w:val="0"/>
        <w:autoSpaceDN w:val="0"/>
        <w:spacing w:line="360" w:lineRule="auto"/>
        <w:ind w:firstLine="480" w:firstLineChars="200"/>
        <w:rPr>
          <w:rFonts w:hAnsi="宋体" w:cs="Times New Roman"/>
          <w:sz w:val="24"/>
          <w:szCs w:val="20"/>
        </w:rPr>
      </w:pPr>
      <w:r>
        <w:rPr>
          <w:rFonts w:hint="eastAsia" w:hAnsi="宋体" w:cs="Times New Roman"/>
          <w:sz w:val="24"/>
          <w:szCs w:val="20"/>
        </w:rPr>
        <w:t>学校采取毕业生就业情况周报制度，对就业进展情况进行实时跟踪和动态管理，各学院还从实际出发，制订就业工作相关制度，采取了一系列措施，有效地推动了毕业生就业工作。学校委托省教育评估院、麦克思公司等第三方积极开展毕业生职业发展状况跟踪调查，实时掌握毕业生需求状况，提供针对性指导。</w:t>
      </w:r>
    </w:p>
    <w:p>
      <w:pPr>
        <w:pStyle w:val="5"/>
        <w:spacing w:before="0" w:after="0" w:line="360" w:lineRule="auto"/>
        <w:ind w:firstLine="472" w:firstLineChars="196"/>
        <w:rPr>
          <w:rFonts w:ascii="Times New Roman" w:hAnsi="Times New Roman" w:cs="Times New Roman"/>
          <w:sz w:val="24"/>
          <w:szCs w:val="24"/>
        </w:rPr>
      </w:pPr>
      <w:bookmarkStart w:id="11" w:name="_Toc8364"/>
      <w:r>
        <w:rPr>
          <w:rFonts w:hint="eastAsia" w:ascii="Times New Roman" w:hAnsi="Times New Roman" w:cs="Times New Roman"/>
          <w:sz w:val="24"/>
          <w:szCs w:val="24"/>
        </w:rPr>
        <w:t>2．注重宣传，搭建平台，全方位帮助毕业生实现充分就业</w:t>
      </w:r>
      <w:bookmarkEnd w:id="11"/>
    </w:p>
    <w:p>
      <w:pPr>
        <w:widowControl/>
        <w:spacing w:line="360" w:lineRule="auto"/>
        <w:ind w:firstLine="480" w:firstLineChars="200"/>
        <w:jc w:val="left"/>
        <w:rPr>
          <w:rFonts w:hAnsi="宋体" w:cs="Times New Roman"/>
          <w:sz w:val="24"/>
          <w:szCs w:val="20"/>
        </w:rPr>
      </w:pPr>
      <w:r>
        <w:rPr>
          <w:rFonts w:hint="eastAsia" w:hAnsi="宋体" w:cs="Times New Roman"/>
          <w:sz w:val="24"/>
          <w:szCs w:val="20"/>
        </w:rPr>
        <w:t>学校注重毕业生就业宣传工作，编制了</w:t>
      </w:r>
      <w:r>
        <w:rPr>
          <w:rFonts w:hint="eastAsia" w:hAnsi="宋体" w:cs="Times New Roman"/>
          <w:sz w:val="24"/>
          <w:szCs w:val="20"/>
          <w:lang w:val="en-US" w:eastAsia="zh-CN"/>
        </w:rPr>
        <w:t>2019</w:t>
      </w:r>
      <w:r>
        <w:rPr>
          <w:rFonts w:hint="eastAsia" w:hAnsi="宋体" w:cs="Times New Roman"/>
          <w:sz w:val="24"/>
          <w:szCs w:val="20"/>
        </w:rPr>
        <w:t>届毕业生就业推荐专辑，通过各种形式把我校毕业生信息介绍给用人单位。学校通过多种媒体积极介绍我校人才培养特色、学生专业优势，为毕业生营造良好的就业氛围。</w:t>
      </w:r>
    </w:p>
    <w:p>
      <w:pPr>
        <w:autoSpaceDE w:val="0"/>
        <w:autoSpaceDN w:val="0"/>
        <w:spacing w:line="360" w:lineRule="auto"/>
        <w:ind w:firstLine="480" w:firstLineChars="200"/>
        <w:rPr>
          <w:rFonts w:hAnsi="宋体" w:cs="Times New Roman"/>
          <w:color w:val="FF0000"/>
          <w:sz w:val="24"/>
          <w:szCs w:val="20"/>
        </w:rPr>
      </w:pPr>
      <w:r>
        <w:rPr>
          <w:rFonts w:hint="eastAsia" w:hAnsi="宋体" w:cs="Times New Roman"/>
          <w:sz w:val="24"/>
          <w:szCs w:val="20"/>
        </w:rPr>
        <w:t>为加强高校与社会的联系，方便用人单位选聘人才，促进我校毕业生顺利就业，校招就办牵头组织了系列招聘会：</w:t>
      </w:r>
    </w:p>
    <w:p>
      <w:pPr>
        <w:pStyle w:val="5"/>
        <w:spacing w:before="0" w:after="0" w:line="360" w:lineRule="auto"/>
        <w:ind w:firstLine="472" w:firstLineChars="196"/>
        <w:rPr>
          <w:rFonts w:ascii="Times New Roman" w:hAnsi="Times New Roman" w:cs="Times New Roman"/>
          <w:sz w:val="24"/>
          <w:szCs w:val="24"/>
        </w:rPr>
      </w:pPr>
      <w:bookmarkStart w:id="12" w:name="_Toc9360"/>
      <w:r>
        <w:rPr>
          <w:rFonts w:hint="eastAsia" w:ascii="Times New Roman" w:hAnsi="Times New Roman" w:cs="Times New Roman"/>
          <w:sz w:val="24"/>
          <w:szCs w:val="24"/>
        </w:rPr>
        <w:t>3．加强指导，强化服务，全面提升毕业生就业服务水平</w:t>
      </w:r>
      <w:bookmarkEnd w:id="12"/>
    </w:p>
    <w:p>
      <w:pPr>
        <w:autoSpaceDE w:val="0"/>
        <w:autoSpaceDN w:val="0"/>
        <w:spacing w:line="360" w:lineRule="auto"/>
        <w:ind w:firstLine="480" w:firstLineChars="200"/>
        <w:rPr>
          <w:rFonts w:hAnsi="宋体" w:cs="Times New Roman"/>
          <w:sz w:val="24"/>
          <w:szCs w:val="20"/>
        </w:rPr>
      </w:pPr>
      <w:r>
        <w:rPr>
          <w:rFonts w:hint="eastAsia" w:hAnsi="宋体" w:cs="Times New Roman"/>
          <w:sz w:val="24"/>
          <w:szCs w:val="20"/>
        </w:rPr>
        <w:t>就业指导与服务已成为高校就业工作的核心内容。我校采取校院合作，在对学生开展就业指导课程的基础上，组织各类就业及创业讲座，邀请就业、创业指导专家、企事业知名人士、大中型企业人士主管、成功校友等来校与毕业生进行互动交流。“简历的制作及面试的技巧”、“从高校到职场的华丽转身”等一系列就业专题讲座使毕业生在及了解就业形势、掌握就业技巧的同时，受到了良好的职业道德教育，分享到了宝贵的成功人生经验，对今后的职业生涯发展有很大帮助。</w:t>
      </w:r>
    </w:p>
    <w:p>
      <w:pPr>
        <w:autoSpaceDE w:val="0"/>
        <w:autoSpaceDN w:val="0"/>
        <w:spacing w:line="360" w:lineRule="auto"/>
        <w:ind w:firstLine="480" w:firstLineChars="200"/>
        <w:rPr>
          <w:rFonts w:hAnsi="宋体" w:cs="Times New Roman"/>
          <w:sz w:val="24"/>
          <w:szCs w:val="20"/>
        </w:rPr>
      </w:pPr>
      <w:r>
        <w:rPr>
          <w:rFonts w:hint="eastAsia" w:hAnsi="宋体" w:cs="Times New Roman"/>
          <w:sz w:val="24"/>
          <w:szCs w:val="20"/>
        </w:rPr>
        <w:t>学校主动“请进来、走出去”，积极联系用人单位，开拓校内校外市场。</w:t>
      </w:r>
      <w:r>
        <w:rPr>
          <w:rFonts w:hint="eastAsia" w:ascii="Times New Roman" w:hAnsi="Times New Roman" w:cs="Times New Roman"/>
          <w:sz w:val="24"/>
          <w:szCs w:val="20"/>
        </w:rPr>
        <w:t>2016</w:t>
      </w:r>
      <w:r>
        <w:rPr>
          <w:rFonts w:hint="eastAsia" w:hAnsi="宋体" w:cs="Times New Roman"/>
          <w:sz w:val="24"/>
          <w:szCs w:val="20"/>
        </w:rPr>
        <w:t>年</w:t>
      </w:r>
      <w:r>
        <w:rPr>
          <w:rFonts w:hint="eastAsia" w:ascii="Times New Roman" w:hAnsi="Times New Roman" w:cs="Times New Roman"/>
          <w:sz w:val="24"/>
          <w:szCs w:val="20"/>
        </w:rPr>
        <w:t>10</w:t>
      </w:r>
      <w:r>
        <w:rPr>
          <w:rFonts w:hint="eastAsia" w:hAnsi="宋体" w:cs="Times New Roman"/>
          <w:sz w:val="24"/>
          <w:szCs w:val="20"/>
        </w:rPr>
        <w:t>月到</w:t>
      </w:r>
      <w:r>
        <w:rPr>
          <w:rFonts w:hint="eastAsia" w:ascii="Times New Roman" w:hAnsi="Times New Roman" w:cs="Times New Roman"/>
          <w:sz w:val="24"/>
          <w:szCs w:val="20"/>
        </w:rPr>
        <w:t>2017</w:t>
      </w:r>
      <w:r>
        <w:rPr>
          <w:rFonts w:hint="eastAsia" w:hAnsi="宋体" w:cs="Times New Roman"/>
          <w:sz w:val="24"/>
          <w:szCs w:val="20"/>
        </w:rPr>
        <w:t>年</w:t>
      </w:r>
      <w:r>
        <w:rPr>
          <w:rFonts w:hint="eastAsia" w:ascii="Times New Roman" w:hAnsi="Times New Roman" w:cs="Times New Roman"/>
          <w:sz w:val="24"/>
          <w:szCs w:val="20"/>
        </w:rPr>
        <w:t>6</w:t>
      </w:r>
      <w:r>
        <w:rPr>
          <w:rFonts w:hint="eastAsia" w:hAnsi="宋体" w:cs="Times New Roman"/>
          <w:sz w:val="24"/>
          <w:szCs w:val="20"/>
        </w:rPr>
        <w:t>月，有</w:t>
      </w:r>
      <w:r>
        <w:rPr>
          <w:rFonts w:hint="eastAsia" w:ascii="Times New Roman" w:hAnsi="Times New Roman" w:cs="Times New Roman"/>
          <w:sz w:val="24"/>
          <w:szCs w:val="20"/>
        </w:rPr>
        <w:t>100</w:t>
      </w:r>
      <w:r>
        <w:rPr>
          <w:rFonts w:hint="eastAsia" w:hAnsi="宋体" w:cs="Times New Roman"/>
          <w:sz w:val="24"/>
          <w:szCs w:val="20"/>
        </w:rPr>
        <w:t>多家知名企业来我校进行了校园宣讲会，包括银亿集团、宁波银行、平安银行、奥克斯集团、百胜餐饮、百威啤酒等知名企业。大型企业招聘宣讲会一方面给毕业生带来了大量的优质就业岗位，另一方面，加深了我校与企业的沟通，提升了企业对我校就业工作满意度。在积极做好校园招聘会、宣讲会的同时，我们还积极组织毕业生参加宁波各县市大型人才洽谈会，鼓励毕业生到各偏远地区、基层组织去锻炼。不断加强毕业生就业信息服务平台的建设，在校就业网上共发布近千家单位、上万个就业岗位的招聘信息。还通过微信公众号、短信、qq群等平台，将各种就业信息及时发送给每一位毕业生，取得了良好的效果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</w:p>
    <w:p>
      <w:pPr>
        <w:pStyle w:val="4"/>
        <w:spacing w:before="0" w:after="0" w:line="360" w:lineRule="auto"/>
        <w:ind w:firstLine="562" w:firstLineChars="200"/>
        <w:rPr>
          <w:lang w:val="zh-CN"/>
        </w:rPr>
      </w:pPr>
      <w:bookmarkStart w:id="13" w:name="_Toc15272"/>
      <w:r>
        <w:rPr>
          <w:rFonts w:hint="eastAsia"/>
        </w:rPr>
        <w:t>三、</w:t>
      </w:r>
      <w:r>
        <w:rPr>
          <w:rFonts w:hint="eastAsia"/>
          <w:lang w:val="zh-CN"/>
        </w:rPr>
        <w:t>措施及经验</w:t>
      </w:r>
      <w:bookmarkEnd w:id="13"/>
    </w:p>
    <w:p>
      <w:pPr>
        <w:pStyle w:val="5"/>
        <w:spacing w:before="0" w:after="0" w:line="360" w:lineRule="auto"/>
        <w:ind w:firstLine="472" w:firstLineChars="196"/>
        <w:rPr>
          <w:rFonts w:hint="eastAsia" w:ascii="Times New Roman" w:hAnsi="Times New Roman" w:cs="Times New Roman"/>
          <w:sz w:val="24"/>
          <w:szCs w:val="24"/>
        </w:rPr>
      </w:pPr>
      <w:bookmarkStart w:id="14" w:name="_Toc16390"/>
      <w:r>
        <w:rPr>
          <w:rFonts w:hint="eastAsia" w:ascii="Times New Roman" w:hAnsi="Times New Roman" w:cs="Times New Roman"/>
          <w:sz w:val="24"/>
          <w:szCs w:val="24"/>
        </w:rPr>
        <w:t>1．就业创业的措施</w:t>
      </w:r>
      <w:bookmarkEnd w:id="14"/>
    </w:p>
    <w:p>
      <w:pPr>
        <w:pStyle w:val="6"/>
        <w:spacing w:before="0" w:after="0" w:line="360" w:lineRule="auto"/>
        <w:ind w:firstLine="480" w:firstLineChars="200"/>
        <w:rPr>
          <w:rFonts w:ascii="黑体" w:hAnsi="黑体" w:cs="黑体"/>
          <w:b w:val="0"/>
          <w:bCs w:val="0"/>
          <w:lang w:val="zh-CN"/>
        </w:rPr>
      </w:pPr>
      <w:bookmarkStart w:id="15" w:name="_Toc46"/>
      <w:r>
        <w:rPr>
          <w:rFonts w:hint="eastAsia" w:ascii="黑体" w:hAnsi="黑体" w:cs="黑体"/>
          <w:b w:val="0"/>
          <w:bCs w:val="0"/>
          <w:lang w:val="zh-CN"/>
        </w:rPr>
        <w:t>（</w:t>
      </w:r>
      <w:r>
        <w:rPr>
          <w:rFonts w:hint="eastAsia" w:ascii="黑体" w:hAnsi="黑体" w:cs="黑体"/>
          <w:b w:val="0"/>
          <w:bCs w:val="0"/>
          <w:lang w:val="en-US" w:eastAsia="zh-CN"/>
        </w:rPr>
        <w:t>1</w:t>
      </w:r>
      <w:r>
        <w:rPr>
          <w:rFonts w:hint="eastAsia" w:ascii="黑体" w:hAnsi="黑体" w:cs="黑体"/>
          <w:b w:val="0"/>
          <w:bCs w:val="0"/>
          <w:lang w:val="zh-CN"/>
        </w:rPr>
        <w:t>）加强就业创业相关政策的落实</w:t>
      </w:r>
      <w:bookmarkEnd w:id="15"/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  <w:lang w:val="zh-CN"/>
        </w:rPr>
        <w:t>学校加强有关部门的相关政策的落实，积极联系企业召开招聘会，鼓励学生进行创业并给予相关支持，建立了大学生创业实训基地，进一步增强了学生们的创业实力。</w:t>
      </w:r>
    </w:p>
    <w:p>
      <w:pPr>
        <w:pStyle w:val="6"/>
        <w:spacing w:before="0" w:after="0" w:line="360" w:lineRule="auto"/>
        <w:ind w:firstLine="480" w:firstLineChars="200"/>
        <w:rPr>
          <w:rFonts w:ascii="黑体" w:hAnsi="黑体" w:cs="黑体"/>
          <w:b w:val="0"/>
          <w:bCs w:val="0"/>
          <w:szCs w:val="22"/>
          <w:lang w:val="zh-CN"/>
        </w:rPr>
      </w:pPr>
      <w:bookmarkStart w:id="16" w:name="_Toc6496"/>
      <w:r>
        <w:rPr>
          <w:rFonts w:hint="eastAsia" w:ascii="黑体" w:hAnsi="黑体" w:cs="黑体"/>
          <w:b w:val="0"/>
          <w:bCs w:val="0"/>
          <w:lang w:eastAsia="zh-CN"/>
        </w:rPr>
        <w:t>（</w:t>
      </w:r>
      <w:r>
        <w:rPr>
          <w:rFonts w:hint="eastAsia" w:ascii="黑体" w:hAnsi="黑体" w:cs="黑体"/>
          <w:b w:val="0"/>
          <w:bCs w:val="0"/>
          <w:lang w:val="en-US" w:eastAsia="zh-CN"/>
        </w:rPr>
        <w:t>2</w:t>
      </w:r>
      <w:r>
        <w:rPr>
          <w:rFonts w:hint="eastAsia" w:ascii="黑体" w:hAnsi="黑体" w:cs="黑体"/>
          <w:b w:val="0"/>
          <w:bCs w:val="0"/>
          <w:lang w:eastAsia="zh-CN"/>
        </w:rPr>
        <w:t>）</w:t>
      </w:r>
      <w:r>
        <w:rPr>
          <w:rFonts w:hint="eastAsia" w:ascii="黑体" w:hAnsi="黑体" w:cs="黑体"/>
          <w:b w:val="0"/>
          <w:bCs w:val="0"/>
          <w:szCs w:val="22"/>
          <w:lang w:val="zh-CN"/>
        </w:rPr>
        <w:t>加强指导，强化服务，全面提升毕业生就业服务水平</w:t>
      </w:r>
      <w:bookmarkEnd w:id="16"/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  <w:lang w:val="zh-CN"/>
        </w:rPr>
        <w:t>就业指导与服务已成高校就业工作的核心内容。我校采取校院合作，在对学生开展就业指导课程的基础上，组织各类就业及创业讲座，邀请就业、创业指导专家、企事业知名人士、大中型企业人事主管、成功校友等来校与毕业生进行互动交流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</w:rPr>
        <w:t>同时我校还</w:t>
      </w:r>
      <w:r>
        <w:rPr>
          <w:rFonts w:hint="eastAsia" w:hAnsi="宋体" w:eastAsia="宋体" w:cs="Times New Roman"/>
          <w:lang w:val="zh-CN"/>
        </w:rPr>
        <w:t>加强毕业生就业信息服务平台的建设,在校就业网上共发布近千个就业岗位的招聘信息。还通过微信、短信、qq群等方式，将各种就业信息及时发送给每一位毕业生，取得了良好的效果。</w:t>
      </w:r>
    </w:p>
    <w:p>
      <w:pPr>
        <w:pStyle w:val="6"/>
        <w:spacing w:before="0" w:after="0" w:line="360" w:lineRule="auto"/>
        <w:ind w:firstLine="480" w:firstLineChars="200"/>
        <w:rPr>
          <w:rFonts w:ascii="黑体" w:hAnsi="黑体" w:cs="黑体"/>
          <w:b w:val="0"/>
          <w:bCs w:val="0"/>
          <w:szCs w:val="22"/>
        </w:rPr>
      </w:pPr>
      <w:bookmarkStart w:id="17" w:name="_Toc15479"/>
      <w:r>
        <w:rPr>
          <w:rFonts w:hint="eastAsia" w:ascii="黑体" w:hAnsi="黑体" w:cs="黑体"/>
          <w:b w:val="0"/>
          <w:bCs w:val="0"/>
          <w:lang w:eastAsia="zh-CN"/>
        </w:rPr>
        <w:t>（</w:t>
      </w:r>
      <w:r>
        <w:rPr>
          <w:rFonts w:hint="eastAsia" w:ascii="黑体" w:hAnsi="黑体" w:cs="黑体"/>
          <w:b w:val="0"/>
          <w:bCs w:val="0"/>
          <w:lang w:val="en-US" w:eastAsia="zh-CN"/>
        </w:rPr>
        <w:t>3</w:t>
      </w:r>
      <w:r>
        <w:rPr>
          <w:rFonts w:hint="eastAsia" w:ascii="黑体" w:hAnsi="黑体" w:cs="黑体"/>
          <w:b w:val="0"/>
          <w:bCs w:val="0"/>
          <w:lang w:eastAsia="zh-CN"/>
        </w:rPr>
        <w:t>）</w:t>
      </w:r>
      <w:r>
        <w:rPr>
          <w:rFonts w:hint="eastAsia" w:ascii="黑体" w:hAnsi="黑体" w:cs="黑体"/>
          <w:b w:val="0"/>
          <w:bCs w:val="0"/>
          <w:szCs w:val="22"/>
        </w:rPr>
        <w:t>丰富就业指导形式，提高学生就业能力</w:t>
      </w:r>
      <w:bookmarkEnd w:id="17"/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</w:rPr>
        <w:t>调整大学生创业课程授课内容，开展实践性强的学生创业活动。组织学生参加职业技能培训班，增强学生创业的实践能力。邀请区委党校、企业人事、律师等专家为学院学生做职业生涯规划及就业权益知识讲座。</w:t>
      </w:r>
    </w:p>
    <w:p>
      <w:pPr>
        <w:pStyle w:val="6"/>
        <w:spacing w:before="0" w:after="0" w:line="360" w:lineRule="auto"/>
        <w:ind w:firstLine="480" w:firstLineChars="200"/>
        <w:rPr>
          <w:rFonts w:ascii="黑体" w:hAnsi="黑体" w:cs="黑体"/>
          <w:b w:val="0"/>
          <w:bCs w:val="0"/>
          <w:szCs w:val="22"/>
        </w:rPr>
      </w:pPr>
      <w:bookmarkStart w:id="18" w:name="_Toc21527"/>
      <w:r>
        <w:rPr>
          <w:rFonts w:hint="eastAsia" w:ascii="黑体" w:hAnsi="黑体" w:cs="黑体"/>
          <w:b w:val="0"/>
          <w:bCs w:val="0"/>
          <w:lang w:eastAsia="zh-CN"/>
        </w:rPr>
        <w:t>（</w:t>
      </w:r>
      <w:r>
        <w:rPr>
          <w:rFonts w:hint="eastAsia" w:ascii="黑体" w:hAnsi="黑体" w:cs="黑体"/>
          <w:b w:val="0"/>
          <w:bCs w:val="0"/>
          <w:lang w:val="en-US" w:eastAsia="zh-CN"/>
        </w:rPr>
        <w:t>4</w:t>
      </w:r>
      <w:r>
        <w:rPr>
          <w:rFonts w:hint="eastAsia" w:ascii="黑体" w:hAnsi="黑体" w:cs="黑体"/>
          <w:b w:val="0"/>
          <w:bCs w:val="0"/>
          <w:lang w:eastAsia="zh-CN"/>
        </w:rPr>
        <w:t>）</w:t>
      </w:r>
      <w:r>
        <w:rPr>
          <w:rFonts w:hint="eastAsia" w:ascii="黑体" w:hAnsi="黑体" w:cs="黑体"/>
          <w:b w:val="0"/>
          <w:bCs w:val="0"/>
          <w:szCs w:val="22"/>
        </w:rPr>
        <w:t>健全就业指导体系，把就业工作摆在突出位置</w:t>
      </w:r>
      <w:bookmarkEnd w:id="18"/>
    </w:p>
    <w:p>
      <w:pPr>
        <w:pStyle w:val="23"/>
        <w:rPr>
          <w:rFonts w:hAnsi="宋体" w:eastAsia="宋体" w:cs="Times New Roman"/>
        </w:rPr>
      </w:pPr>
      <w:r>
        <w:rPr>
          <w:rFonts w:hint="eastAsia" w:hAnsi="宋体" w:eastAsia="宋体" w:cs="Times New Roman"/>
        </w:rPr>
        <w:t>就业工作是促进学校发展的战略任务，我校始终把就业工作摆在 重要的位置，主管院长亲自部署就业工作，落实责任，定期检查督促，确保学院就业工作认识到位、领导到位、责任到位、资金到位、措施到位和服务到位。</w:t>
      </w:r>
    </w:p>
    <w:p>
      <w:pPr>
        <w:pStyle w:val="5"/>
        <w:spacing w:before="0" w:after="0" w:line="360" w:lineRule="auto"/>
        <w:ind w:firstLine="472" w:firstLineChars="196"/>
        <w:rPr>
          <w:rFonts w:ascii="Times New Roman" w:hAnsi="Times New Roman" w:cs="Times New Roman"/>
          <w:sz w:val="24"/>
          <w:szCs w:val="24"/>
        </w:rPr>
      </w:pPr>
      <w:bookmarkStart w:id="19" w:name="_Toc25530"/>
      <w:r>
        <w:rPr>
          <w:rFonts w:hint="eastAsia" w:ascii="Times New Roman" w:hAnsi="Times New Roman" w:cs="Times New Roman"/>
          <w:sz w:val="24"/>
          <w:szCs w:val="24"/>
        </w:rPr>
        <w:t>2．就业创业工作经验</w:t>
      </w:r>
      <w:bookmarkEnd w:id="19"/>
    </w:p>
    <w:p>
      <w:pPr>
        <w:pStyle w:val="6"/>
        <w:spacing w:before="0" w:after="0" w:line="360" w:lineRule="auto"/>
        <w:ind w:firstLine="480" w:firstLineChars="200"/>
        <w:rPr>
          <w:rFonts w:ascii="黑体" w:hAnsi="黑体" w:cs="黑体"/>
          <w:b w:val="0"/>
          <w:bCs w:val="0"/>
          <w:szCs w:val="22"/>
          <w:lang w:val="zh-CN"/>
        </w:rPr>
      </w:pPr>
      <w:bookmarkStart w:id="20" w:name="_Toc26041"/>
      <w:r>
        <w:rPr>
          <w:rFonts w:hint="eastAsia" w:ascii="黑体" w:hAnsi="黑体" w:cs="黑体"/>
          <w:b w:val="0"/>
          <w:bCs w:val="0"/>
          <w:lang w:eastAsia="zh-CN"/>
        </w:rPr>
        <w:t>（</w:t>
      </w:r>
      <w:r>
        <w:rPr>
          <w:rFonts w:hint="eastAsia" w:ascii="黑体" w:hAnsi="黑体" w:cs="黑体"/>
          <w:b w:val="0"/>
          <w:bCs w:val="0"/>
          <w:lang w:val="en-US" w:eastAsia="zh-CN"/>
        </w:rPr>
        <w:t>1</w:t>
      </w:r>
      <w:r>
        <w:rPr>
          <w:rFonts w:hint="eastAsia" w:ascii="黑体" w:hAnsi="黑体" w:cs="黑体"/>
          <w:b w:val="0"/>
          <w:bCs w:val="0"/>
          <w:lang w:eastAsia="zh-CN"/>
        </w:rPr>
        <w:t>）</w:t>
      </w:r>
      <w:r>
        <w:rPr>
          <w:rFonts w:hint="eastAsia" w:ascii="黑体" w:hAnsi="黑体" w:cs="黑体"/>
          <w:b w:val="0"/>
          <w:bCs w:val="0"/>
          <w:szCs w:val="22"/>
          <w:lang w:val="zh-CN"/>
        </w:rPr>
        <w:t>关注创新创业教育，培育学生勇于探索的创新精神</w:t>
      </w:r>
      <w:bookmarkEnd w:id="20"/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  <w:lang w:val="zh-CN"/>
        </w:rPr>
        <w:t xml:space="preserve">利用学校、政府、企业、专家、校友等各方力量开展创新创业教育和创业实践指导。如开展“青年创业大讲堂”和“多元化创业新路线”等系列讲座、沙龙;举办“大学生自主创业政策解析和实务指导”讲座;设立专项基金资助本科生从事科学研究，设立创业基金每年为5支团队提供约10万人民币的资助;连续10年举办学生创业计划大赛，为优秀项目提供资金支持和成果孵化帮助等。通过上述一系列教育和活动，学生创业领域和方向日趋多元化，创业热情不断高涨。 </w:t>
      </w:r>
    </w:p>
    <w:p>
      <w:pPr>
        <w:widowControl/>
        <w:spacing w:line="360" w:lineRule="auto"/>
        <w:ind w:firstLine="480" w:firstLineChars="200"/>
        <w:jc w:val="left"/>
        <w:rPr>
          <w:rFonts w:hAnsi="宋体" w:cs="Times New Roman"/>
          <w:sz w:val="24"/>
          <w:szCs w:val="20"/>
          <w:lang w:val="zh-CN"/>
        </w:rPr>
      </w:pPr>
      <w:bookmarkStart w:id="21" w:name="_Toc28594"/>
      <w:r>
        <w:rPr>
          <w:rStyle w:val="29"/>
          <w:rFonts w:hint="eastAsia" w:ascii="黑体" w:hAnsi="黑体" w:cs="黑体"/>
          <w:b w:val="0"/>
          <w:bCs w:val="0"/>
        </w:rPr>
        <w:t>2</w:t>
      </w:r>
      <w:r>
        <w:rPr>
          <w:rStyle w:val="29"/>
          <w:rFonts w:hint="eastAsia" w:ascii="黑体" w:hAnsi="黑体" w:cs="黑体"/>
          <w:b w:val="0"/>
          <w:bCs w:val="0"/>
          <w:lang w:val="zh-CN"/>
        </w:rPr>
        <w:t>）高度重视，创新思路，积极促进毕业生就业</w:t>
      </w:r>
      <w:r>
        <w:rPr>
          <w:rStyle w:val="29"/>
          <w:rFonts w:hint="eastAsia" w:ascii="黑体" w:hAnsi="黑体" w:cs="黑体"/>
          <w:b w:val="0"/>
          <w:bCs w:val="0"/>
          <w:lang w:val="zh-CN"/>
        </w:rPr>
        <w:br w:type="textWrapping"/>
      </w:r>
      <w:bookmarkEnd w:id="21"/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hint="eastAsia" w:hAnsi="宋体" w:cs="Times New Roman"/>
          <w:sz w:val="24"/>
          <w:szCs w:val="20"/>
          <w:lang w:val="zh-CN"/>
        </w:rPr>
        <w:t>　①举措引导和鼓励学生到基层就业。专门出台文件，通过开展政策咨询周、举办基层单位及村官座谈会、基层就业活动月、实地考察基层工作等活动以及承诺考研加分、给予物质奖励等政策优惠，引导学生就业观念由追求“三高三大”向“行行建功、处处立业”转变。</w:t>
      </w:r>
      <w:r>
        <w:rPr>
          <w:rFonts w:hint="eastAsia" w:hAnsi="宋体" w:cs="Times New Roman"/>
          <w:sz w:val="24"/>
          <w:szCs w:val="20"/>
          <w:lang w:val="zh-CN"/>
        </w:rPr>
        <w:br w:type="textWrapping"/>
      </w:r>
      <w:r>
        <w:rPr>
          <w:rFonts w:hint="eastAsia" w:ascii="宋体" w:hAnsi="宋体"/>
          <w:kern w:val="0"/>
          <w:sz w:val="24"/>
        </w:rPr>
        <w:t>　</w:t>
      </w:r>
      <w:r>
        <w:rPr>
          <w:rFonts w:hint="eastAsia" w:hAnsi="宋体" w:cs="Times New Roman"/>
          <w:sz w:val="24"/>
          <w:szCs w:val="20"/>
          <w:lang w:val="zh-CN"/>
        </w:rPr>
        <w:t xml:space="preserve">　②构建与用人单位合作的长效机制。创立与用人单位的就业工作联谊会制度，开拓并巩固良好的就业市场，在社会各界引起强烈反响。 </w:t>
      </w:r>
    </w:p>
    <w:p>
      <w:pPr>
        <w:pStyle w:val="6"/>
        <w:spacing w:before="0" w:after="0" w:line="360" w:lineRule="auto"/>
        <w:ind w:firstLine="480" w:firstLineChars="200"/>
        <w:rPr>
          <w:rFonts w:ascii="黑体" w:hAnsi="黑体" w:cs="黑体"/>
          <w:b w:val="0"/>
          <w:bCs w:val="0"/>
          <w:szCs w:val="22"/>
        </w:rPr>
      </w:pPr>
      <w:bookmarkStart w:id="22" w:name="_Toc31191"/>
      <w:r>
        <w:rPr>
          <w:rFonts w:hint="eastAsia" w:ascii="黑体" w:hAnsi="黑体" w:cs="黑体"/>
          <w:b w:val="0"/>
          <w:bCs w:val="0"/>
          <w:szCs w:val="22"/>
        </w:rPr>
        <w:t>3</w:t>
      </w:r>
      <w:r>
        <w:rPr>
          <w:rFonts w:hint="eastAsia" w:ascii="黑体" w:hAnsi="黑体" w:cs="黑体"/>
          <w:b w:val="0"/>
          <w:bCs w:val="0"/>
          <w:szCs w:val="22"/>
          <w:lang w:val="zh-CN"/>
        </w:rPr>
        <w:t>）要主动适应市场的变化，调整就业方式</w:t>
      </w:r>
      <w:bookmarkEnd w:id="22"/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hAnsi="宋体" w:cs="Times New Roman"/>
          <w:sz w:val="24"/>
          <w:szCs w:val="20"/>
          <w:lang w:val="zh-CN"/>
        </w:rPr>
        <w:t>主动适应行业发展趋势和就业市场环境，优化专业设置，整合教育资源，探索实践优秀拔尖人才的培养模式；大力推动校企合作，开展多层次、广覆盖的创业教育活动，“双实双业”基地理念先进，保障到位，实效明显。 </w:t>
      </w:r>
    </w:p>
    <w:p>
      <w:pPr>
        <w:pStyle w:val="4"/>
        <w:spacing w:before="0" w:after="0" w:line="360" w:lineRule="auto"/>
        <w:ind w:firstLine="562" w:firstLineChars="200"/>
      </w:pPr>
      <w:bookmarkStart w:id="23" w:name="_Toc7017"/>
      <w:r>
        <w:rPr>
          <w:rFonts w:hint="eastAsia"/>
        </w:rPr>
        <w:t>四、存在的困难问题</w:t>
      </w:r>
      <w:bookmarkEnd w:id="23"/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ascii="Times New Roman" w:hAnsi="Times New Roman" w:eastAsia="宋体" w:cs="Times New Roman"/>
          <w:lang w:val="zh-CN"/>
        </w:rPr>
        <w:t>201</w:t>
      </w:r>
      <w:r>
        <w:rPr>
          <w:rFonts w:hint="eastAsia" w:ascii="Times New Roman" w:hAnsi="Times New Roman" w:eastAsia="宋体" w:cs="Times New Roman"/>
        </w:rPr>
        <w:t>9</w:t>
      </w:r>
      <w:r>
        <w:rPr>
          <w:rFonts w:hint="eastAsia" w:hAnsi="宋体" w:eastAsia="宋体" w:cs="Times New Roman"/>
          <w:lang w:val="zh-CN"/>
        </w:rPr>
        <w:t>届毕业生就业工作已经基本结束，也取得了比较理想的成绩，但我们也清楚地认识到在就业工作方面存在的困难和问题。</w:t>
      </w:r>
    </w:p>
    <w:p>
      <w:pPr>
        <w:pStyle w:val="5"/>
        <w:spacing w:before="0" w:after="0" w:line="360" w:lineRule="auto"/>
        <w:ind w:firstLine="472" w:firstLineChars="196"/>
        <w:rPr>
          <w:rFonts w:ascii="Times New Roman" w:hAnsi="Times New Roman" w:cs="Times New Roman"/>
          <w:sz w:val="24"/>
          <w:szCs w:val="24"/>
          <w:lang w:val="zh-CN"/>
        </w:rPr>
      </w:pPr>
      <w:bookmarkStart w:id="24" w:name="_Toc3621"/>
      <w:r>
        <w:rPr>
          <w:rFonts w:hint="eastAsia" w:ascii="Times New Roman" w:hAnsi="Times New Roman" w:cs="Times New Roman"/>
          <w:sz w:val="24"/>
          <w:szCs w:val="24"/>
          <w:lang w:val="zh-CN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zh-CN"/>
        </w:rPr>
        <w:t>毕业生就业过程中存在的问题</w:t>
      </w:r>
      <w:bookmarkEnd w:id="24"/>
    </w:p>
    <w:p>
      <w:pPr>
        <w:pStyle w:val="6"/>
        <w:spacing w:before="0" w:after="0" w:line="360" w:lineRule="auto"/>
        <w:ind w:firstLine="480" w:firstLineChars="200"/>
        <w:rPr>
          <w:b w:val="0"/>
          <w:bCs w:val="0"/>
          <w:szCs w:val="22"/>
          <w:lang w:val="zh-CN"/>
        </w:rPr>
      </w:pPr>
      <w:bookmarkStart w:id="25" w:name="_Toc10568"/>
      <w:r>
        <w:rPr>
          <w:rFonts w:hint="eastAsia"/>
          <w:b w:val="0"/>
          <w:bCs w:val="0"/>
          <w:szCs w:val="22"/>
        </w:rPr>
        <w:t>1</w:t>
      </w:r>
      <w:r>
        <w:rPr>
          <w:rFonts w:hint="eastAsia"/>
          <w:b w:val="0"/>
          <w:bCs w:val="0"/>
          <w:szCs w:val="22"/>
          <w:lang w:val="zh-CN"/>
        </w:rPr>
        <w:t>）</w:t>
      </w:r>
      <w:r>
        <w:rPr>
          <w:rFonts w:hint="eastAsia"/>
          <w:b w:val="0"/>
          <w:bCs w:val="0"/>
          <w:szCs w:val="22"/>
        </w:rPr>
        <w:t>缺乏相应的</w:t>
      </w:r>
      <w:r>
        <w:rPr>
          <w:rFonts w:hint="eastAsia"/>
          <w:b w:val="0"/>
          <w:bCs w:val="0"/>
          <w:szCs w:val="22"/>
          <w:lang w:val="zh-CN"/>
        </w:rPr>
        <w:t>求职技能</w:t>
      </w:r>
      <w:bookmarkEnd w:id="25"/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  <w:lang w:val="zh-CN"/>
        </w:rPr>
        <w:t>求职技能包括信息收集与处理能力、准确定位能力、抓住机遇的能力、表达能力、决策能力、自我推销能力、自我保护能力等，是决定大学生能否实现与生产资料结合，达到人职匹配的重要因素。但是，不少大学生缺乏这样的能力，在应聘时没有运用相应的应聘技巧与策略，未能将社会关系和社会资本恰当运用。</w:t>
      </w:r>
      <w:r>
        <w:rPr>
          <w:rFonts w:hAnsi="宋体" w:eastAsia="宋体" w:cs="Times New Roman"/>
          <w:lang w:val="zh-CN"/>
        </w:rPr>
        <w:t> </w:t>
      </w:r>
    </w:p>
    <w:p>
      <w:pPr>
        <w:pStyle w:val="6"/>
        <w:spacing w:before="0" w:after="0" w:line="360" w:lineRule="auto"/>
        <w:ind w:firstLine="480" w:firstLineChars="200"/>
        <w:rPr>
          <w:b w:val="0"/>
          <w:bCs w:val="0"/>
          <w:szCs w:val="22"/>
          <w:lang w:val="zh-CN"/>
        </w:rPr>
      </w:pPr>
      <w:bookmarkStart w:id="26" w:name="_Toc20681"/>
      <w:r>
        <w:rPr>
          <w:rFonts w:hint="eastAsia"/>
          <w:b w:val="0"/>
          <w:bCs w:val="0"/>
          <w:szCs w:val="22"/>
        </w:rPr>
        <w:t>2</w:t>
      </w:r>
      <w:r>
        <w:rPr>
          <w:rFonts w:hint="eastAsia"/>
          <w:b w:val="0"/>
          <w:bCs w:val="0"/>
          <w:szCs w:val="22"/>
          <w:lang w:val="zh-CN"/>
        </w:rPr>
        <w:t>）专业技能不足 </w:t>
      </w:r>
      <w:bookmarkEnd w:id="26"/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  <w:lang w:val="zh-CN"/>
        </w:rPr>
        <w:t>大学生经过严格的专业训练能够全面系统地掌握学科。本专业的基本理论、方法和技能，运用这些知识指导实践的能力、学习与专业相关的新知识新技术的能力等。一些毕业生由于没有掌握相应的专业技能，甚至连最基本的专业常识都很缺乏，因此在就业过程中频频遭遇困难和挫折。</w:t>
      </w:r>
      <w:r>
        <w:rPr>
          <w:rFonts w:hAnsi="宋体" w:eastAsia="宋体" w:cs="Times New Roman"/>
          <w:lang w:val="zh-CN"/>
        </w:rPr>
        <w:t> </w:t>
      </w:r>
    </w:p>
    <w:p>
      <w:pPr>
        <w:pStyle w:val="6"/>
        <w:spacing w:before="0" w:after="0" w:line="360" w:lineRule="auto"/>
        <w:ind w:firstLine="480" w:firstLineChars="200"/>
        <w:rPr>
          <w:b w:val="0"/>
          <w:bCs w:val="0"/>
          <w:szCs w:val="22"/>
          <w:lang w:val="zh-CN"/>
        </w:rPr>
      </w:pPr>
      <w:bookmarkStart w:id="27" w:name="_Toc14012"/>
      <w:r>
        <w:rPr>
          <w:rFonts w:hint="eastAsia"/>
          <w:b w:val="0"/>
          <w:bCs w:val="0"/>
          <w:szCs w:val="22"/>
        </w:rPr>
        <w:t>3</w:t>
      </w:r>
      <w:r>
        <w:rPr>
          <w:rFonts w:hint="eastAsia"/>
          <w:b w:val="0"/>
          <w:bCs w:val="0"/>
          <w:szCs w:val="22"/>
          <w:lang w:val="zh-CN"/>
        </w:rPr>
        <w:t>）就业心理准备不足 </w:t>
      </w:r>
      <w:bookmarkEnd w:id="27"/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  <w:lang w:val="zh-CN"/>
        </w:rPr>
        <w:t>对于大多数的学生来说，大学阶段过的是一种单纯而有保障的生活，学习、生活、交际都较有规律，这样的生活与现实社会自然存在一定的距离，无法应对，产生心理落差，无法满足就职的心理需要。</w:t>
      </w:r>
    </w:p>
    <w:p>
      <w:pPr>
        <w:pStyle w:val="6"/>
        <w:spacing w:before="0" w:after="0" w:line="360" w:lineRule="auto"/>
        <w:ind w:firstLine="480" w:firstLineChars="200"/>
        <w:rPr>
          <w:b w:val="0"/>
          <w:bCs w:val="0"/>
          <w:szCs w:val="22"/>
          <w:lang w:val="zh-CN"/>
        </w:rPr>
      </w:pPr>
      <w:bookmarkStart w:id="28" w:name="_Toc23020"/>
      <w:r>
        <w:rPr>
          <w:rFonts w:hint="eastAsia"/>
          <w:b w:val="0"/>
          <w:bCs w:val="0"/>
          <w:szCs w:val="22"/>
        </w:rPr>
        <w:t>4</w:t>
      </w:r>
      <w:r>
        <w:rPr>
          <w:rFonts w:hint="eastAsia"/>
          <w:b w:val="0"/>
          <w:bCs w:val="0"/>
          <w:szCs w:val="22"/>
          <w:lang w:val="zh-CN"/>
        </w:rPr>
        <w:t>）基本工作能力较差</w:t>
      </w:r>
      <w:bookmarkEnd w:id="28"/>
    </w:p>
    <w:p>
      <w:pPr>
        <w:pStyle w:val="23"/>
        <w:rPr>
          <w:rFonts w:hAnsi="宋体" w:eastAsia="宋体" w:cs="Times New Roman"/>
        </w:rPr>
      </w:pPr>
      <w:r>
        <w:rPr>
          <w:rFonts w:hint="eastAsia" w:hAnsi="宋体" w:eastAsia="宋体" w:cs="Times New Roman"/>
          <w:lang w:val="zh-CN"/>
        </w:rPr>
        <w:t>一些毕业生缺乏对岗位的热爱与理解，工作选择上拈轻怕重，适应职业岗位的时间较长，基本工作能力较差，导致在职场上的发展后劲不足。</w:t>
      </w:r>
      <w:r>
        <w:rPr>
          <w:rFonts w:hAnsi="宋体" w:eastAsia="宋体" w:cs="Times New Roman"/>
          <w:lang w:val="zh-CN"/>
        </w:rPr>
        <w:t> </w:t>
      </w:r>
    </w:p>
    <w:p>
      <w:pPr>
        <w:pStyle w:val="5"/>
        <w:spacing w:before="0" w:after="0" w:line="360" w:lineRule="auto"/>
        <w:ind w:firstLine="472" w:firstLineChars="196"/>
        <w:rPr>
          <w:rFonts w:ascii="Times New Roman" w:hAnsi="Times New Roman" w:cs="Times New Roman"/>
          <w:sz w:val="24"/>
          <w:szCs w:val="24"/>
          <w:lang w:val="zh-CN"/>
        </w:rPr>
      </w:pPr>
      <w:bookmarkStart w:id="29" w:name="_Toc29172"/>
      <w:r>
        <w:rPr>
          <w:rFonts w:hint="eastAsia" w:ascii="Times New Roman" w:hAnsi="Times New Roman" w:cs="Times New Roman"/>
          <w:sz w:val="24"/>
          <w:szCs w:val="24"/>
          <w:lang w:val="zh-CN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  <w:lang w:val="zh-CN"/>
        </w:rPr>
        <w:t>就业工作方面的困难的主要表现</w:t>
      </w:r>
      <w:bookmarkEnd w:id="29"/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  <w:lang w:val="zh-CN"/>
        </w:rPr>
        <w:t>（</w:t>
      </w:r>
      <w:r>
        <w:rPr>
          <w:rFonts w:hint="eastAsia" w:hAnsi="宋体" w:eastAsia="宋体" w:cs="Times New Roman"/>
        </w:rPr>
        <w:t>1</w:t>
      </w:r>
      <w:r>
        <w:rPr>
          <w:rFonts w:hint="eastAsia" w:hAnsi="宋体" w:eastAsia="宋体" w:cs="Times New Roman"/>
          <w:lang w:val="zh-CN"/>
        </w:rPr>
        <w:t>）我校就业指导的工作体系不够完善和人员队伍不够专业化, 作用有待进一步加强。</w:t>
      </w:r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  <w:lang w:val="zh-CN"/>
        </w:rPr>
        <w:t>（</w:t>
      </w:r>
      <w:r>
        <w:rPr>
          <w:rFonts w:hint="eastAsia" w:hAnsi="宋体" w:eastAsia="宋体" w:cs="Times New Roman"/>
        </w:rPr>
        <w:t>2</w:t>
      </w:r>
      <w:r>
        <w:rPr>
          <w:rFonts w:hint="eastAsia" w:hAnsi="宋体" w:eastAsia="宋体" w:cs="Times New Roman"/>
          <w:lang w:val="zh-CN"/>
        </w:rPr>
        <w:t>）就业指导队伍人员较少，任务繁重，缺乏相应的人员配备，人手相对不足。</w:t>
      </w:r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  <w:lang w:val="zh-CN"/>
        </w:rPr>
        <w:t>（</w:t>
      </w:r>
      <w:r>
        <w:rPr>
          <w:rFonts w:hint="eastAsia" w:hAnsi="宋体" w:eastAsia="宋体" w:cs="Times New Roman"/>
        </w:rPr>
        <w:t>3</w:t>
      </w:r>
      <w:r>
        <w:rPr>
          <w:rFonts w:hint="eastAsia" w:hAnsi="宋体" w:eastAsia="宋体" w:cs="Times New Roman"/>
          <w:lang w:val="zh-CN"/>
        </w:rPr>
        <w:t>）就业信息相对缺乏且信息更新不及时，不能及时传导市场对所需人才的具体需求。</w:t>
      </w:r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  <w:lang w:val="zh-CN"/>
        </w:rPr>
        <w:t>（</w:t>
      </w:r>
      <w:r>
        <w:rPr>
          <w:rFonts w:hint="eastAsia" w:hAnsi="宋体" w:eastAsia="宋体" w:cs="Times New Roman"/>
        </w:rPr>
        <w:t>4</w:t>
      </w:r>
      <w:r>
        <w:rPr>
          <w:rFonts w:hint="eastAsia" w:hAnsi="宋体" w:eastAsia="宋体" w:cs="Times New Roman"/>
          <w:lang w:val="zh-CN"/>
        </w:rPr>
        <w:t>）就业指导与服务的针对性和水平有待提高，职业生涯教育有待加强。</w:t>
      </w:r>
    </w:p>
    <w:p>
      <w:pPr>
        <w:pStyle w:val="4"/>
        <w:spacing w:before="0" w:after="0" w:line="360" w:lineRule="auto"/>
        <w:ind w:firstLine="560" w:firstLineChars="200"/>
        <w:rPr>
          <w:b w:val="0"/>
        </w:rPr>
      </w:pPr>
      <w:bookmarkStart w:id="30" w:name="_Toc25352"/>
      <w:r>
        <w:rPr>
          <w:rFonts w:hint="eastAsia"/>
          <w:b w:val="0"/>
          <w:lang w:val="zh-CN"/>
        </w:rPr>
        <w:t>五、今后工作的建议和对策</w:t>
      </w:r>
      <w:bookmarkEnd w:id="30"/>
    </w:p>
    <w:p>
      <w:pPr>
        <w:pStyle w:val="23"/>
        <w:rPr>
          <w:rFonts w:hAnsi="宋体" w:eastAsia="宋体" w:cs="Times New Roman"/>
        </w:rPr>
      </w:pPr>
      <w:r>
        <w:rPr>
          <w:rFonts w:hint="eastAsia" w:hAnsi="宋体" w:eastAsia="宋体" w:cs="Times New Roman"/>
        </w:rPr>
        <w:t>（1）加强就业指导人员的专业性，加强对其的专业性培训，提高专业性和业务能力。</w:t>
      </w:r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</w:rPr>
        <w:t>（2）为促进就业信息及时有效的传播，专门</w:t>
      </w:r>
      <w:r>
        <w:rPr>
          <w:rFonts w:hint="eastAsia" w:hAnsi="宋体" w:eastAsia="宋体" w:cs="Times New Roman"/>
          <w:lang w:val="zh-CN"/>
        </w:rPr>
        <w:t>建设需进一步加强，校就业网需加强建设，拓展功能。</w:t>
      </w:r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  <w:lang w:val="zh-CN"/>
        </w:rPr>
        <w:t>（</w:t>
      </w:r>
      <w:r>
        <w:rPr>
          <w:rFonts w:hint="eastAsia" w:hAnsi="宋体" w:eastAsia="宋体" w:cs="Times New Roman"/>
        </w:rPr>
        <w:t>3</w:t>
      </w:r>
      <w:r>
        <w:rPr>
          <w:rFonts w:hint="eastAsia" w:hAnsi="宋体" w:eastAsia="宋体" w:cs="Times New Roman"/>
          <w:lang w:val="zh-CN"/>
        </w:rPr>
        <w:t>）提高就业指导与服务的针对性和水平，加强职业生涯教育。</w:t>
      </w:r>
    </w:p>
    <w:p>
      <w:pPr>
        <w:pStyle w:val="23"/>
        <w:rPr>
          <w:rFonts w:hAnsi="宋体" w:eastAsia="宋体" w:cs="Times New Roman"/>
          <w:lang w:val="zh-CN"/>
        </w:rPr>
      </w:pPr>
      <w:r>
        <w:rPr>
          <w:rFonts w:hint="eastAsia" w:hAnsi="宋体" w:eastAsia="宋体" w:cs="Times New Roman"/>
          <w:lang w:val="zh-CN"/>
        </w:rPr>
        <w:t>（</w:t>
      </w:r>
      <w:r>
        <w:rPr>
          <w:rFonts w:hint="eastAsia" w:hAnsi="宋体" w:eastAsia="宋体" w:cs="Times New Roman"/>
        </w:rPr>
        <w:t>4</w:t>
      </w:r>
      <w:r>
        <w:rPr>
          <w:rFonts w:hint="eastAsia" w:hAnsi="宋体" w:eastAsia="宋体" w:cs="Times New Roman"/>
          <w:lang w:val="zh-CN"/>
        </w:rPr>
        <w:t>）加强毕业生离校后的联络和毕业生跟踪调查。</w:t>
      </w:r>
    </w:p>
    <w:p>
      <w:pPr>
        <w:pStyle w:val="23"/>
        <w:rPr>
          <w:rFonts w:ascii="黑体" w:hAnsi="黑体" w:eastAsia="黑体" w:cs="黑体"/>
          <w:sz w:val="28"/>
          <w:szCs w:val="28"/>
        </w:rPr>
      </w:pPr>
      <w:r>
        <w:rPr>
          <w:rFonts w:hint="eastAsia" w:hAnsi="宋体" w:eastAsia="宋体" w:cs="Times New Roman"/>
          <w:lang w:val="zh-CN"/>
        </w:rPr>
        <w:t>（</w:t>
      </w:r>
      <w:r>
        <w:rPr>
          <w:rFonts w:hint="eastAsia" w:hAnsi="宋体" w:eastAsia="宋体" w:cs="Times New Roman"/>
        </w:rPr>
        <w:t>5</w:t>
      </w:r>
      <w:r>
        <w:rPr>
          <w:rFonts w:hint="eastAsia" w:hAnsi="宋体" w:eastAsia="宋体" w:cs="Times New Roman"/>
          <w:lang w:val="zh-CN"/>
        </w:rPr>
        <w:t>）就业前加强对学生的心理辅导，解决其心理问题。</w:t>
      </w: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39"/>
    <w:rsid w:val="00080209"/>
    <w:rsid w:val="00092893"/>
    <w:rsid w:val="000D0304"/>
    <w:rsid w:val="001B28F2"/>
    <w:rsid w:val="001C58E7"/>
    <w:rsid w:val="001C7668"/>
    <w:rsid w:val="001D102A"/>
    <w:rsid w:val="00200753"/>
    <w:rsid w:val="002A7328"/>
    <w:rsid w:val="002B5EF1"/>
    <w:rsid w:val="002E58D2"/>
    <w:rsid w:val="002F22BA"/>
    <w:rsid w:val="002F455D"/>
    <w:rsid w:val="003114B0"/>
    <w:rsid w:val="0039537E"/>
    <w:rsid w:val="003A1A35"/>
    <w:rsid w:val="00416559"/>
    <w:rsid w:val="0047685F"/>
    <w:rsid w:val="00515C76"/>
    <w:rsid w:val="005216F7"/>
    <w:rsid w:val="0057363A"/>
    <w:rsid w:val="007104E4"/>
    <w:rsid w:val="00740B3A"/>
    <w:rsid w:val="0083183A"/>
    <w:rsid w:val="00834430"/>
    <w:rsid w:val="008A1370"/>
    <w:rsid w:val="008B1013"/>
    <w:rsid w:val="008C7A00"/>
    <w:rsid w:val="009219F2"/>
    <w:rsid w:val="00961E7F"/>
    <w:rsid w:val="00A24239"/>
    <w:rsid w:val="00AA40C6"/>
    <w:rsid w:val="00AB437C"/>
    <w:rsid w:val="00BF4CAE"/>
    <w:rsid w:val="00C14D47"/>
    <w:rsid w:val="00C57087"/>
    <w:rsid w:val="00C74F3F"/>
    <w:rsid w:val="00CA3E77"/>
    <w:rsid w:val="00D31FE4"/>
    <w:rsid w:val="00DD5B43"/>
    <w:rsid w:val="00E073E9"/>
    <w:rsid w:val="00E66BBC"/>
    <w:rsid w:val="00EE030C"/>
    <w:rsid w:val="00EE2CC0"/>
    <w:rsid w:val="00F66289"/>
    <w:rsid w:val="00F85C7F"/>
    <w:rsid w:val="01CB7E4D"/>
    <w:rsid w:val="020175E8"/>
    <w:rsid w:val="037F41FC"/>
    <w:rsid w:val="067D60EE"/>
    <w:rsid w:val="06C805A4"/>
    <w:rsid w:val="07E33A60"/>
    <w:rsid w:val="07FF3FCF"/>
    <w:rsid w:val="0CF03441"/>
    <w:rsid w:val="0F5D1B7B"/>
    <w:rsid w:val="112B1183"/>
    <w:rsid w:val="1144151E"/>
    <w:rsid w:val="12BC427D"/>
    <w:rsid w:val="13382BB5"/>
    <w:rsid w:val="14766F46"/>
    <w:rsid w:val="164F7847"/>
    <w:rsid w:val="17924CC6"/>
    <w:rsid w:val="18013652"/>
    <w:rsid w:val="20BA71F0"/>
    <w:rsid w:val="241D2894"/>
    <w:rsid w:val="2447766C"/>
    <w:rsid w:val="265E327B"/>
    <w:rsid w:val="271E2194"/>
    <w:rsid w:val="273D6F7D"/>
    <w:rsid w:val="285A33B9"/>
    <w:rsid w:val="2A7D00B1"/>
    <w:rsid w:val="2B784CE6"/>
    <w:rsid w:val="2C3F5E12"/>
    <w:rsid w:val="2D007115"/>
    <w:rsid w:val="2D6E3A4D"/>
    <w:rsid w:val="2EE1212C"/>
    <w:rsid w:val="2F5B63EE"/>
    <w:rsid w:val="304C6BA8"/>
    <w:rsid w:val="30C14B2F"/>
    <w:rsid w:val="31585279"/>
    <w:rsid w:val="33451ED5"/>
    <w:rsid w:val="3401690D"/>
    <w:rsid w:val="34F13CA0"/>
    <w:rsid w:val="3500604A"/>
    <w:rsid w:val="35C14A97"/>
    <w:rsid w:val="3643579D"/>
    <w:rsid w:val="3A550835"/>
    <w:rsid w:val="3B64348C"/>
    <w:rsid w:val="3B702C51"/>
    <w:rsid w:val="3C934D24"/>
    <w:rsid w:val="3CC562D1"/>
    <w:rsid w:val="3D85445C"/>
    <w:rsid w:val="3DAA4F7B"/>
    <w:rsid w:val="3E991ABD"/>
    <w:rsid w:val="40A35BB9"/>
    <w:rsid w:val="4157785C"/>
    <w:rsid w:val="426A2133"/>
    <w:rsid w:val="427B5D01"/>
    <w:rsid w:val="427E0920"/>
    <w:rsid w:val="42F30A92"/>
    <w:rsid w:val="437A5C24"/>
    <w:rsid w:val="441269E5"/>
    <w:rsid w:val="45896947"/>
    <w:rsid w:val="492649AB"/>
    <w:rsid w:val="4C8732FE"/>
    <w:rsid w:val="4EAE27C8"/>
    <w:rsid w:val="4EBC4334"/>
    <w:rsid w:val="4F7D224F"/>
    <w:rsid w:val="52EB5739"/>
    <w:rsid w:val="53FA25A9"/>
    <w:rsid w:val="558B7560"/>
    <w:rsid w:val="566B1DDC"/>
    <w:rsid w:val="567816B9"/>
    <w:rsid w:val="56EB3692"/>
    <w:rsid w:val="57F31036"/>
    <w:rsid w:val="58371B25"/>
    <w:rsid w:val="5B6948CE"/>
    <w:rsid w:val="5C7E671D"/>
    <w:rsid w:val="5DBB02F6"/>
    <w:rsid w:val="5E5706FF"/>
    <w:rsid w:val="61CB547F"/>
    <w:rsid w:val="64404AC5"/>
    <w:rsid w:val="664E1519"/>
    <w:rsid w:val="68B21FBF"/>
    <w:rsid w:val="69F32F03"/>
    <w:rsid w:val="6A5A5AE3"/>
    <w:rsid w:val="6B40289F"/>
    <w:rsid w:val="6B4F1C3E"/>
    <w:rsid w:val="6B9E7A93"/>
    <w:rsid w:val="6D980332"/>
    <w:rsid w:val="6E250087"/>
    <w:rsid w:val="6E80503A"/>
    <w:rsid w:val="6EC41018"/>
    <w:rsid w:val="70D813CD"/>
    <w:rsid w:val="71283A61"/>
    <w:rsid w:val="71750DAC"/>
    <w:rsid w:val="7253740A"/>
    <w:rsid w:val="74741AA0"/>
    <w:rsid w:val="74AC612E"/>
    <w:rsid w:val="7908317A"/>
    <w:rsid w:val="7AA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1"/>
    <w:next w:val="1"/>
    <w:link w:val="29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5"/>
    <w:basedOn w:val="1"/>
    <w:next w:val="1"/>
    <w:qFormat/>
    <w:uiPriority w:val="0"/>
    <w:pPr>
      <w:tabs>
        <w:tab w:val="right" w:leader="dot" w:pos="8302"/>
      </w:tabs>
      <w:ind w:left="1680" w:leftChars="258" w:hanging="1138" w:hangingChars="542"/>
    </w:p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30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4"/>
    <w:basedOn w:val="1"/>
    <w:next w:val="1"/>
    <w:qFormat/>
    <w:uiPriority w:val="0"/>
    <w:pPr>
      <w:tabs>
        <w:tab w:val="right" w:leader="dot" w:pos="8302"/>
      </w:tabs>
      <w:jc w:val="center"/>
    </w:pPr>
    <w:rPr>
      <w:rFonts w:ascii="华文中宋" w:hAnsi="华文中宋" w:eastAsia="华文中宋"/>
      <w:sz w:val="36"/>
      <w:szCs w:val="36"/>
      <w:lang w:val="zh-CN"/>
    </w:rPr>
  </w:style>
  <w:style w:type="paragraph" w:styleId="13">
    <w:name w:val="toc 6"/>
    <w:basedOn w:val="1"/>
    <w:next w:val="1"/>
    <w:qFormat/>
    <w:uiPriority w:val="0"/>
    <w:pPr>
      <w:tabs>
        <w:tab w:val="right" w:leader="dot" w:pos="8302"/>
      </w:tabs>
      <w:ind w:left="2100" w:leftChars="429" w:hanging="1199" w:hangingChars="571"/>
    </w:p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5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Theme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qFormat/>
    <w:uiPriority w:val="0"/>
    <w:rPr>
      <w:color w:val="0000FF"/>
      <w:u w:val="single"/>
    </w:rPr>
  </w:style>
  <w:style w:type="paragraph" w:customStyle="1" w:styleId="2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3">
    <w:name w:val="正文内容"/>
    <w:basedOn w:val="1"/>
    <w:qFormat/>
    <w:uiPriority w:val="0"/>
    <w:pPr>
      <w:spacing w:line="360" w:lineRule="auto"/>
      <w:ind w:firstLine="480" w:firstLineChars="200"/>
    </w:pPr>
    <w:rPr>
      <w:rFonts w:eastAsia="仿宋_GB2312"/>
      <w:sz w:val="24"/>
      <w:szCs w:val="20"/>
    </w:rPr>
  </w:style>
  <w:style w:type="character" w:customStyle="1" w:styleId="24">
    <w:name w:val="02"/>
    <w:qFormat/>
    <w:uiPriority w:val="0"/>
    <w:rPr>
      <w:rFonts w:eastAsia="仿宋_GB2312"/>
      <w:b/>
      <w:bCs/>
      <w:sz w:val="28"/>
    </w:rPr>
  </w:style>
  <w:style w:type="character" w:customStyle="1" w:styleId="25">
    <w:name w:val="font21"/>
    <w:basedOn w:val="19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26">
    <w:name w:val="font1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7">
    <w:name w:val="表格样式1"/>
    <w:basedOn w:val="16"/>
    <w:qFormat/>
    <w:uiPriority w:val="0"/>
    <w:pPr>
      <w:jc w:val="center"/>
    </w:pPr>
    <w:rPr>
      <w:rFonts w:eastAsia="Times New Roman"/>
      <w:sz w:val="21"/>
    </w:rPr>
    <w:tblPr>
      <w:tblBorders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cPr>
        <w:shd w:val="clear" w:color="auto" w:fill="9ABFF0"/>
      </w:tcPr>
    </w:tblStylePr>
    <w:tblStylePr w:type="band1Horz">
      <w:tcPr>
        <w:shd w:val="clear" w:color="auto" w:fill="ECEEEE"/>
      </w:tcPr>
    </w:tblStylePr>
    <w:tblStylePr w:type="band2Horz">
      <w:tcPr>
        <w:shd w:val="clear" w:color="auto" w:fill="CBDCF7"/>
      </w:tcPr>
    </w:tblStylePr>
  </w:style>
  <w:style w:type="paragraph" w:customStyle="1" w:styleId="28">
    <w:name w:val="正文 + (中文) 黑体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29">
    <w:name w:val="标题 6 Char"/>
    <w:link w:val="6"/>
    <w:qFormat/>
    <w:uiPriority w:val="0"/>
    <w:rPr>
      <w:rFonts w:ascii="Arial" w:hAnsi="Arial" w:eastAsia="黑体"/>
      <w:b/>
      <w:bCs/>
      <w:sz w:val="24"/>
    </w:rPr>
  </w:style>
  <w:style w:type="character" w:customStyle="1" w:styleId="30">
    <w:name w:val="批注框文本 Char"/>
    <w:basedOn w:val="19"/>
    <w:link w:val="9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368D47-4423-49C1-84AE-E0068FBA57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1224</Words>
  <Characters>6979</Characters>
  <Lines>58</Lines>
  <Paragraphs>16</Paragraphs>
  <TotalTime>57</TotalTime>
  <ScaleCrop>false</ScaleCrop>
  <LinksUpToDate>false</LinksUpToDate>
  <CharactersWithSpaces>8187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2018-11-13T16:40:00Z</dcterms:created>
  <dc:creator>Administrator</dc:creator>
  <cp:lastModifiedBy>glimpse</cp:lastModifiedBy>
  <dcterms:modified xsi:type="dcterms:W3CDTF">2019-12-26T06:01:06Z</dcterms:modified>
  <dc:title>宁波工程学院2017届毕业生就业工作总结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